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Acute toxicity: oral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9.2</w:t>
      </w:r>
      <w:r w:rsidRPr="003A6BCF">
        <w:rPr>
          <w:rFonts w:ascii="Cambria" w:eastAsia="Times New Roman" w:hAnsi="Cambria" w:cs="Times New Roman"/>
          <w:b/>
          <w:bCs/>
          <w:i/>
          <w:color w:val="000000"/>
          <w:lang w:val="en"/>
        </w:rPr>
        <w:t>]-[</w:t>
      </w:r>
      <w:r w:rsidR="00B21DF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750F64"/>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750F64"/>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acute toxicity: oral</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w:t>
            </w:r>
            <w:r>
              <w:rPr>
                <w:rFonts w:ascii="Arial"/>
                <w:sz w:val="16"/>
              </w:rPr>
              <w:t>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w:t>
            </w:r>
            <w:r>
              <w:rPr>
                <w:rFonts w:ascii="Arial"/>
                <w:sz w:val="16"/>
              </w:rPr>
              <w:t xml:space="preserve">djacent text field, as '(Q)SAR' needs to be indicated in field 'Type of information' and the model should be described in field 'Justification of non-standard information' or 'Attached justification'. A specific endpoint title may be used, if addressed by </w:t>
            </w:r>
            <w:r>
              <w:rPr>
                <w:rFonts w:ascii="Arial"/>
                <w:sz w:val="16"/>
              </w:rPr>
              <w:t>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w:t>
            </w:r>
            <w:r>
              <w:rPr>
                <w:rFonts w:ascii="Arial"/>
                <w:sz w:val="16"/>
              </w:rPr>
              <w:t>l substance which may be specified by the relevant regulatory framework as 'information requirement' (e.g. Boiling point, Sub-chronic toxicity: oral, Fish early-life stage toxicity). In a narrower sense, the term '(eco)toxicity endpoint' refers to an outco</w:t>
            </w:r>
            <w:r>
              <w:rPr>
                <w:rFonts w:ascii="Arial"/>
                <w:sz w:val="16"/>
              </w:rPr>
              <w:t>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w:t>
            </w:r>
            <w:r>
              <w:rPr>
                <w:rFonts w:ascii="Arial"/>
                <w:sz w:val="16"/>
              </w:rPr>
              <w:t xml:space="preserve">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Select the</w:t>
            </w:r>
            <w:r>
              <w:rPr>
                <w:rFonts w:ascii="Arial"/>
                <w:sz w:val="16"/>
              </w:rPr>
              <w:t xml:space="preserve"> appropriate type of information, e.g. ' experimental study', ' experimental study planned' or, if alternatives to testing apply, '(Q)SAR', 'read-across ...'. In the case of calculated data, the value 'calculation (if not (Q)SAR)' should only be chosen if </w:t>
            </w:r>
            <w:r>
              <w:rPr>
                <w:rFonts w:ascii="Arial"/>
                <w:sz w:val="16"/>
              </w:rPr>
              <w:t>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select</w:t>
            </w:r>
            <w:r>
              <w:rPr>
                <w:rFonts w:ascii="Arial"/>
                <w:sz w:val="16"/>
              </w:rPr>
              <w:t xml:space="preserve">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w:t>
            </w:r>
            <w:r>
              <w:rPr>
                <w:rFonts w:ascii="Arial"/>
                <w:sz w:val="16"/>
              </w:rPr>
              <w:t>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w:t>
            </w:r>
            <w:r>
              <w:rPr>
                <w:rFonts w:ascii="Arial"/>
                <w:sz w:val="16"/>
              </w:rPr>
              <w:t xml:space="preserve">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w:t>
            </w:r>
            <w:r>
              <w:rPr>
                <w:rFonts w:ascii="Arial"/>
                <w:sz w:val="16"/>
              </w:rPr>
              <w:t xml:space="preserve">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w:t>
            </w:r>
            <w:r>
              <w:rPr>
                <w:rFonts w:ascii="Arial"/>
                <w:sz w:val="16"/>
              </w:rPr>
              <w: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w:t>
            </w:r>
            <w:r>
              <w:rPr>
                <w:rFonts w:ascii="Arial"/>
                <w:sz w:val="16"/>
              </w:rPr>
              <w:t>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w:t>
            </w:r>
            <w:r>
              <w:rPr>
                <w:rFonts w:ascii="Arial"/>
                <w:sz w:val="16"/>
              </w:rPr>
              <w:t>tion</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w:t>
            </w:r>
            <w:r>
              <w:rPr>
                <w:rFonts w:ascii="Arial"/>
                <w:sz w:val="16"/>
              </w:rPr>
              <w:t>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w:t>
            </w:r>
            <w:r>
              <w:rPr>
                <w:rFonts w:ascii="Arial"/>
                <w:sz w:val="16"/>
              </w:rPr>
              <w:t xml:space="preserve">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w:t>
            </w:r>
            <w:r>
              <w:rPr>
                <w:rFonts w:ascii="Arial"/>
                <w:sz w:val="16"/>
              </w:rPr>
              <w:t xml:space="preserve">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w:t>
            </w:r>
            <w:r>
              <w:rPr>
                <w:rFonts w:ascii="Arial"/>
                <w:sz w:val="16"/>
              </w:rPr>
              <w:t xml:space="preserv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w:t>
            </w:r>
            <w:r>
              <w:rPr>
                <w:rFonts w:ascii="Arial"/>
                <w:sz w:val="16"/>
              </w:rPr>
              <w:t>is phrase should be selected for justifying why a potentially critical result has not been used for the hazard assessment. The lines of argumentation should be provided in field 'Rationale for reliability incl. deficiencies', accompanied by the appropriate</w:t>
            </w:r>
            <w:r>
              <w:rPr>
                <w:rFonts w:ascii="Arial"/>
                <w:sz w:val="16"/>
              </w:rPr>
              <w:t xml:space="preserv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w:t>
            </w:r>
            <w:r>
              <w:rPr>
                <w:rFonts w:ascii="Arial"/>
                <w:sz w:val="16"/>
              </w:rPr>
              <w:t>not populated (except for migrated data)</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Set this flag if relevant for the respective regulatory programme or if otherwise useful as filter for printing or exporting records flagged as 'Robust Study Summary</w:t>
            </w:r>
            <w:r>
              <w:rPr>
                <w:rFonts w:ascii="Arial"/>
                <w:sz w:val="16"/>
              </w:rPr>
              <w:t xml:space="preserve">'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w:t>
            </w:r>
            <w:r>
              <w:rPr>
                <w:rFonts w:ascii="Arial"/>
                <w:sz w:val="16"/>
              </w:rPr>
              <w:t xml:space="preserve"> synonym with the term 'Key study', although a key study should usually be submitted in the form of Robust Study Summary. However, a Robust Summary may also be useful for other adequate studies that are considered supportive of the key study or even for in</w:t>
            </w:r>
            <w:r>
              <w:rPr>
                <w:rFonts w:ascii="Arial"/>
                <w:sz w:val="16"/>
              </w:rPr>
              <w:t xml:space="preserve">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Set this flag if relevant for the respective regulatory programme or if otherwise useful as filter for printing </w:t>
            </w:r>
            <w:r>
              <w:rPr>
                <w:rFonts w:ascii="Arial"/>
                <w:sz w:val="16"/>
              </w:rPr>
              <w:t>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field</w:t>
            </w:r>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xml:space="preserve">- the study does not </w:t>
            </w:r>
            <w:r>
              <w:rPr>
                <w:rFonts w:ascii="Arial"/>
                <w:sz w:val="16"/>
              </w:rPr>
              <w:t>need to be conducted because the substance is classified as corrosive to the skin - [study scientifically not necessary / other information available]</w:t>
            </w:r>
            <w:r>
              <w:rPr>
                <w:rFonts w:ascii="Arial"/>
                <w:sz w:val="16"/>
              </w:rPr>
              <w:br/>
              <w:t>- the study does not need to be conducted because a study on acute toxicity by the inhalation route is av</w:t>
            </w:r>
            <w:r>
              <w:rPr>
                <w:rFonts w:ascii="Arial"/>
                <w:sz w:val="16"/>
              </w:rPr>
              <w:t>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 addition to the more generic justification selected in the preceding field 'Data waiving', it is highly recommended to provide a detailed justification. To this end yo</w:t>
            </w:r>
            <w:r>
              <w:rPr>
                <w:rFonts w:ascii="Arial"/>
                <w:sz w:val="16"/>
              </w:rPr>
              <w:t xml:space="preserve">u can either select one or multiple specific standard phrase(s) if it/they give an appropriate rationale of the description given in the preceding field 'Data waiving' or 'other:' and enter free text. Additional specific explanations should be provided if </w:t>
            </w:r>
            <w:r>
              <w:rPr>
                <w:rFonts w:ascii="Arial"/>
                <w:sz w:val="16"/>
              </w:rPr>
              <w:t>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w:t>
            </w:r>
            <w:r>
              <w:rPr>
                <w:rFonts w:ascii="Arial"/>
                <w:sz w:val="16"/>
              </w:rPr>
              <w:t>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w:t>
            </w:r>
            <w:r>
              <w:rPr>
                <w:rFonts w:ascii="Arial"/>
                <w:sz w:val="16"/>
              </w:rPr>
              <w:t>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w:t>
            </w:r>
            <w:r>
              <w:rPr>
                <w:rFonts w:ascii="Arial"/>
                <w:sz w:val="16"/>
              </w:rPr>
              <w:t>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w:t>
            </w:r>
            <w:r>
              <w:rPr>
                <w:rFonts w:ascii="Arial"/>
                <w:sz w:val="16"/>
              </w:rPr>
              <w:t>quacy of study', 'Reliability', 'Rationale for reliability'.</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w:t>
            </w:r>
            <w:r>
              <w:rPr>
                <w:rFonts w:ascii="Arial"/>
                <w:sz w:val="16"/>
              </w:rPr>
              <w:t>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 xml:space="preserve">[Please provide information for all of the points below. The information should </w:t>
            </w:r>
            <w:r>
              <w:rPr>
                <w:rFonts w:ascii="Arial"/>
                <w:sz w:val="16"/>
              </w:rPr>
              <w:t>be specific to the endpoint for which testing is proposed. Note that for testing proposals addressing testing on vertebrate animals under the REACH Regulation this document will be published on the ECHA website along with the third party consultation on th</w:t>
            </w:r>
            <w:r>
              <w:rPr>
                <w:rFonts w:ascii="Arial"/>
                <w:sz w:val="16"/>
              </w:rPr>
              <w:t>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w:t>
            </w:r>
            <w:r>
              <w:rPr>
                <w:rFonts w:ascii="Arial"/>
                <w:sz w:val="16"/>
              </w:rPr>
              <w:t>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w:t>
            </w:r>
            <w:r>
              <w:rPr>
                <w:rFonts w:ascii="Arial"/>
                <w:sz w:val="16"/>
              </w:rPr>
              <w:t>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w:t>
            </w:r>
            <w:r>
              <w:rPr>
                <w:rFonts w:ascii="Arial"/>
                <w:sz w:val="16"/>
              </w:rPr>
              <w:t xml:space="preserve">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w:t>
            </w:r>
            <w:r>
              <w:rPr>
                <w:rFonts w:ascii="Arial"/>
                <w:sz w:val="16"/>
              </w:rPr>
              <w:t xml:space="preserve">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w:t>
            </w:r>
            <w:r>
              <w:rPr>
                <w:rFonts w:ascii="Arial"/>
                <w:sz w:val="16"/>
              </w:rP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w:t>
            </w:r>
            <w:r>
              <w:rPr>
                <w:rFonts w:ascii="Arial"/>
                <w:sz w:val="16"/>
              </w:rPr>
              <w:t>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xml:space="preserve">- Similarity with </w:t>
            </w:r>
            <w:r>
              <w:rPr>
                <w:rFonts w:ascii="Arial"/>
                <w:sz w:val="16"/>
              </w:rPr>
              <w:t>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w:t>
            </w:r>
            <w:r>
              <w:rPr>
                <w:rFonts w:ascii="Arial"/>
                <w:sz w:val="16"/>
              </w:rPr>
              <w:t xml:space="preserve">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 xml:space="preserve">1. HYPOTHESIS FOR THE </w:t>
            </w:r>
            <w:r>
              <w:rPr>
                <w:rFonts w:ascii="Arial"/>
                <w:sz w:val="16"/>
              </w:rPr>
              <w:t>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w:t>
            </w:r>
            <w:r>
              <w:rPr>
                <w:rFonts w:ascii="Arial"/>
                <w:sz w:val="16"/>
              </w:rPr>
              <w:t>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w:t>
            </w:r>
            <w:r>
              <w:rPr>
                <w:rFonts w:ascii="Arial"/>
                <w:sz w:val="16"/>
              </w:rPr>
              <w:t xml:space="preserve">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w:t>
            </w:r>
            <w:r>
              <w:rPr>
                <w:rFonts w:ascii="Arial"/>
                <w:sz w:val="16"/>
              </w:rPr>
              <w:t>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 xml:space="preserve">This field can </w:t>
            </w:r>
            <w:r>
              <w:rPr>
                <w:rFonts w:ascii="Arial"/>
                <w:sz w:val="16"/>
              </w:rPr>
              <w:t xml:space="preserve">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w:t>
            </w:r>
            <w:r>
              <w:rPr>
                <w:rFonts w:ascii="Arial"/>
                <w:sz w:val="16"/>
              </w:rPr>
              <w:t>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w:t>
            </w:r>
            <w:r>
              <w:rPr>
                <w:rFonts w:ascii="Arial"/>
                <w:sz w:val="16"/>
              </w:rPr>
              <w:t>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w:t>
            </w:r>
            <w:r>
              <w:rPr>
                <w:rFonts w:ascii="Arial"/>
                <w:sz w:val="16"/>
              </w:rPr>
              <w:t>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w:t>
            </w:r>
            <w:r>
              <w:rPr>
                <w:rFonts w:ascii="Arial"/>
                <w:sz w:val="16"/>
              </w:rPr>
              <w:t xml:space="preserve">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w:t>
            </w:r>
            <w:r>
              <w:rPr>
                <w:rFonts w:ascii="Arial"/>
                <w:sz w:val="16"/>
              </w:rPr>
              <w:t>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w:t>
            </w:r>
            <w:r>
              <w:rPr>
                <w:rFonts w:ascii="Arial"/>
                <w:sz w:val="16"/>
              </w:rPr>
              <w:t xml:space="preserve"> for providing a justification for read-across, particularly if it is endpoint-specific.</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w:t>
            </w:r>
            <w:r>
              <w:rPr>
                <w:rFonts w:ascii="Arial"/>
                <w:sz w:val="16"/>
              </w:rPr>
              <w:t>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50F64" w:rsidRDefault="00B21DF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w:t>
            </w:r>
            <w:r>
              <w:rPr>
                <w:rFonts w:ascii="Arial"/>
                <w:sz w:val="16"/>
              </w:rPr>
              <w:t xml:space="preserve">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50F64" w:rsidRDefault="00B21DF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50F64" w:rsidRDefault="00B21DF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B21DF0">
            <w:r>
              <w:rPr>
                <w:rFonts w:ascii="Arial"/>
                <w:b/>
                <w:sz w:val="16"/>
              </w:rPr>
              <w:t>Cross-reference:</w:t>
            </w:r>
            <w:r>
              <w:rPr>
                <w:rFonts w:ascii="Arial"/>
                <w:b/>
                <w:sz w:val="16"/>
              </w:rPr>
              <w:br/>
            </w:r>
            <w:r>
              <w:rPr>
                <w:rFonts w:ascii="Arial"/>
                <w:sz w:val="16"/>
              </w:rPr>
              <w:t>AllSummariesAndRecords</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50F64" w:rsidRDefault="00B21DF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50F64" w:rsidRDefault="00B21DF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OECD Guideline 401 (Acute</w:t>
            </w:r>
            <w:r>
              <w:rPr>
                <w:rFonts w:ascii="Arial"/>
                <w:sz w:val="16"/>
              </w:rPr>
              <w:t xml:space="preserve"> Oral Toxicity) - [before 2002]</w:t>
            </w:r>
            <w:r>
              <w:rPr>
                <w:rFonts w:ascii="Arial"/>
                <w:sz w:val="16"/>
              </w:rPr>
              <w:br/>
              <w:t xml:space="preserve">- OECD Guideline 420 (Acute Oral Toxicity - </w:t>
            </w:r>
            <w:r>
              <w:rPr>
                <w:rFonts w:ascii="Arial"/>
                <w:sz w:val="16"/>
              </w:rPr>
              <w:lastRenderedPageBreak/>
              <w:t>Fixed Dose Method)</w:t>
            </w:r>
            <w:r>
              <w:rPr>
                <w:rFonts w:ascii="Arial"/>
                <w:sz w:val="16"/>
              </w:rPr>
              <w:br/>
              <w:t>- OECD Guideline 423 (Acute Oral toxicity - Acute Toxic Class Method)</w:t>
            </w:r>
            <w:r>
              <w:rPr>
                <w:rFonts w:ascii="Arial"/>
                <w:sz w:val="16"/>
              </w:rPr>
              <w:br/>
              <w:t>- OECD Guideline 425 (Acute Oral Toxicity: Up-and-Down Procedure)</w:t>
            </w:r>
            <w:r>
              <w:rPr>
                <w:rFonts w:ascii="Arial"/>
                <w:sz w:val="16"/>
              </w:rPr>
              <w:br/>
              <w:t>- EPA OPP 81-1 (Acute Ora</w:t>
            </w:r>
            <w:r>
              <w:rPr>
                <w:rFonts w:ascii="Arial"/>
                <w:sz w:val="16"/>
              </w:rPr>
              <w:t>l Toxicity)</w:t>
            </w:r>
            <w:r>
              <w:rPr>
                <w:rFonts w:ascii="Arial"/>
                <w:sz w:val="16"/>
              </w:rPr>
              <w:br/>
              <w:t>- EPA OPPTS 870.1100 (Acute Oral Toxicity)</w:t>
            </w:r>
            <w:r>
              <w:rPr>
                <w:rFonts w:ascii="Arial"/>
                <w:sz w:val="16"/>
              </w:rPr>
              <w:br/>
              <w:t>- EPA OPPTS 885.0001 (Overview for Microbial Pest Control Agents)</w:t>
            </w:r>
            <w:r>
              <w:rPr>
                <w:rFonts w:ascii="Arial"/>
                <w:sz w:val="16"/>
              </w:rPr>
              <w:br/>
              <w:t>- EPA OPPTS 885.3050 (Microbial Pesticide, Acute Oral Toxicity/Pathogenicity)</w:t>
            </w:r>
            <w:r>
              <w:rPr>
                <w:rFonts w:ascii="Arial"/>
                <w:sz w:val="16"/>
              </w:rPr>
              <w:br/>
              <w:t>- EPA OPPTS 885.5000 (Microbial Pesticide, Background for</w:t>
            </w:r>
            <w:r>
              <w:rPr>
                <w:rFonts w:ascii="Arial"/>
                <w:sz w:val="16"/>
              </w:rPr>
              <w:t xml:space="preserve"> Microbial Pesticides Testing)</w:t>
            </w:r>
            <w:r>
              <w:rPr>
                <w:rFonts w:ascii="Arial"/>
                <w:sz w:val="16"/>
              </w:rPr>
              <w:br/>
              <w:t>- EPA OTS 798.1175 (Acute Oral Toxicity)</w:t>
            </w:r>
            <w:r>
              <w:rPr>
                <w:rFonts w:ascii="Arial"/>
                <w:sz w:val="16"/>
              </w:rPr>
              <w:br/>
              <w:t>- EU Method B.1 (Acute Toxicity (Oral))</w:t>
            </w:r>
            <w:r>
              <w:rPr>
                <w:rFonts w:ascii="Arial"/>
                <w:sz w:val="16"/>
              </w:rPr>
              <w:br/>
              <w:t>- EU Method B.1 bis (Acute Oral Toxicity - Fixed Dose Procedure)</w:t>
            </w:r>
            <w:r>
              <w:rPr>
                <w:rFonts w:ascii="Arial"/>
                <w:sz w:val="16"/>
              </w:rPr>
              <w:br/>
              <w:t>- EU Method B.1 tris (Acute Oral Toxicity - Acute Toxic Class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 xml:space="preserve">the version and date of the guideline used and/or any other </w:t>
            </w:r>
            <w:r>
              <w:rPr>
                <w:rFonts w:ascii="Arial"/>
                <w:sz w:val="16"/>
              </w:rPr>
              <w:t>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w:t>
            </w:r>
            <w:r>
              <w:rPr>
                <w:rFonts w:ascii="Arial"/>
                <w:sz w:val="16"/>
              </w:rPr>
              <w:t>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w:t>
            </w:r>
            <w:r>
              <w:rPr>
                <w:rFonts w:ascii="Arial"/>
                <w:sz w:val="16"/>
              </w:rPr>
              <w:t>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B21DF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w:t>
            </w:r>
            <w:r>
              <w:rPr>
                <w:rFonts w:ascii="Arial"/>
                <w:sz w:val="16"/>
              </w:rPr>
              <w:t>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w:t>
            </w:r>
            <w:r>
              <w:rPr>
                <w:rFonts w:ascii="Arial"/>
                <w:sz w:val="16"/>
              </w:rPr>
              <w:t>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B21DF0">
            <w:r>
              <w:rPr>
                <w:rFonts w:ascii="Arial"/>
                <w:b/>
                <w:sz w:val="16"/>
              </w:rPr>
              <w:t>Guidance for field condition:</w:t>
            </w:r>
            <w:r>
              <w:rPr>
                <w:rFonts w:ascii="Arial"/>
                <w:b/>
                <w:sz w:val="16"/>
              </w:rPr>
              <w:br/>
            </w:r>
            <w:r>
              <w:rPr>
                <w:rFonts w:ascii="Arial"/>
                <w:sz w:val="16"/>
              </w:rPr>
              <w:t>Condition: Field active only if 'Qualifier' is not 'no guideline ...'</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50F64" w:rsidRDefault="00B21DF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 xml:space="preserve">In case a test guideline or other standardised method was used, indicate if there are any deviations. Briefly state relevant deviations in the supplementary remarks field (e.g. </w:t>
            </w:r>
            <w:r>
              <w:rPr>
                <w:rFonts w:ascii="Arial"/>
                <w:sz w:val="16"/>
              </w:rPr>
              <w:t>'other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50F64" w:rsidRDefault="00B21DF0">
            <w:r>
              <w:rPr>
                <w:rFonts w:ascii="Arial"/>
                <w:b/>
                <w:sz w:val="16"/>
              </w:rPr>
              <w:t>Guidance for field condition:</w:t>
            </w:r>
            <w:r>
              <w:rPr>
                <w:rFonts w:ascii="Arial"/>
                <w:b/>
                <w:sz w:val="16"/>
              </w:rPr>
              <w:br/>
            </w:r>
            <w:r>
              <w:rPr>
                <w:rFonts w:ascii="Arial"/>
                <w:sz w:val="16"/>
              </w:rPr>
              <w:t>Condition: Field active only if 'Qualifier' is not 'no guideline ...'</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b/>
                <w:sz w:val="16"/>
              </w:rPr>
              <w:t xml:space="preserve">Test </w:t>
            </w:r>
            <w:r>
              <w:rPr>
                <w:rFonts w:ascii="Arial"/>
                <w:b/>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w:t>
            </w:r>
            <w:r>
              <w:rPr>
                <w:rFonts w:ascii="Arial"/>
                <w:sz w:val="16"/>
              </w:rPr>
              <w:t>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w:t>
            </w:r>
            <w:r>
              <w:rPr>
                <w:rFonts w:ascii="Arial"/>
                <w:sz w:val="16"/>
              </w:rPr>
              <w: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If no guideline was followed, include a description of the principles of the test protocol or estimated method used in the study. As appropriate use </w:t>
            </w:r>
            <w:r>
              <w:rPr>
                <w:rFonts w:ascii="Arial"/>
                <w:sz w:val="16"/>
              </w:rPr>
              <w:t>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w:t>
            </w:r>
            <w:r>
              <w:rPr>
                <w:rFonts w:ascii="Arial"/>
                <w:sz w:val="16"/>
              </w:rPr>
              <w:t xml:space="preserve">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w:t>
            </w:r>
            <w:r>
              <w:rPr>
                <w:rFonts w:ascii="Arial"/>
                <w:sz w:val="16"/>
              </w:rPr>
              <w:t>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w:t>
            </w:r>
            <w:r>
              <w:rPr>
                <w:rFonts w:ascii="Arial"/>
                <w:sz w:val="16"/>
              </w:rPr>
              <w:t>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lastRenderedPageBreak/>
              <w:t>Picklist values:</w:t>
            </w:r>
            <w:r>
              <w:rPr>
                <w:rFonts w:ascii="Arial"/>
                <w:sz w:val="16"/>
              </w:rPr>
              <w:br/>
              <w:t>- yes (incl. QA 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Indicate whether the study wa</w:t>
            </w:r>
            <w:r>
              <w:rPr>
                <w:rFonts w:ascii="Arial"/>
                <w:sz w:val="16"/>
              </w:rPr>
              <w:t>s conducted following Good Laboratory Practice or not. In case 'yes</w:t>
            </w:r>
            <w:r>
              <w:rPr>
                <w:rFonts w:ascii="Arial"/>
                <w:sz w:val="16"/>
              </w:rPr>
              <w:t>’</w:t>
            </w:r>
            <w:r>
              <w:rPr>
                <w:rFonts w:ascii="Arial"/>
                <w:sz w:val="16"/>
              </w:rPr>
              <w:t xml:space="preserve"> is selected, a Quality Assurance (QA) </w:t>
            </w:r>
            <w:r>
              <w:rPr>
                <w:rFonts w:ascii="Arial"/>
                <w:sz w:val="16"/>
              </w:rPr>
              <w:lastRenderedPageBreak/>
              <w:t>statement must be provided with the report. You can give an explanation in the supplementary remarks field, e.g. for explaining why GLP was not compl</w:t>
            </w:r>
            <w:r>
              <w:rPr>
                <w:rFonts w:ascii="Arial"/>
                <w:sz w:val="16"/>
              </w:rPr>
              <w:t>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acute toxic class method</w:t>
            </w:r>
            <w:r>
              <w:rPr>
                <w:rFonts w:ascii="Arial"/>
                <w:sz w:val="16"/>
              </w:rPr>
              <w:br/>
              <w:t>- fixed dose procedure</w:t>
            </w:r>
            <w:r>
              <w:rPr>
                <w:rFonts w:ascii="Arial"/>
                <w:sz w:val="16"/>
              </w:rPr>
              <w:br/>
              <w:t>- standard acute method</w:t>
            </w:r>
            <w:r>
              <w:rPr>
                <w:rFonts w:ascii="Arial"/>
                <w:sz w:val="16"/>
              </w:rPr>
              <w:br/>
              <w:t>- up-and-down procedure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If possible, indicate </w:t>
            </w:r>
            <w:r>
              <w:rPr>
                <w:rFonts w:ascii="Arial"/>
                <w:sz w:val="16"/>
              </w:rPr>
              <w:t>whether the acute toxic class method, fixed dose procedure, up-and-down procedure or standard acute method was used. The latter method should not be used any more. However, it may apply to existing studies.</w:t>
            </w:r>
            <w:r>
              <w:rPr>
                <w:rFonts w:ascii="Arial"/>
                <w:sz w:val="16"/>
              </w:rPr>
              <w:br/>
            </w:r>
            <w:r>
              <w:rPr>
                <w:rFonts w:ascii="Arial"/>
                <w:sz w:val="16"/>
              </w:rPr>
              <w:br/>
              <w:t>If neither of these test types applies, either l</w:t>
            </w:r>
            <w:r>
              <w:rPr>
                <w:rFonts w:ascii="Arial"/>
                <w:sz w:val="16"/>
              </w:rPr>
              <w:t>eave field empty or use 'other:'.</w:t>
            </w:r>
            <w:r>
              <w:rPr>
                <w:rFonts w:ascii="Arial"/>
                <w:sz w:val="16"/>
              </w:rPr>
              <w:br/>
            </w:r>
            <w:r>
              <w:rPr>
                <w:rFonts w:ascii="Arial"/>
                <w:sz w:val="16"/>
              </w:rPr>
              <w:br/>
              <w:t>Note: This field may be redundant with the information given in field 'Guideline', but is considered useful for searching reasons.</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Indicate if the </w:t>
            </w:r>
            <w:r>
              <w:rPr>
                <w:rFonts w:ascii="Arial"/>
                <w:sz w:val="16"/>
              </w:rPr>
              <w:t>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50F64" w:rsidRDefault="00B21DF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50F64" w:rsidRDefault="00B21DF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Select the appropriate Test Material Information (TMI) record. If not available in the repository, create a new one. You may also</w:t>
            </w:r>
            <w:r>
              <w:rPr>
                <w:rFonts w:ascii="Arial"/>
                <w:sz w:val="16"/>
              </w:rPr>
              <w:t xml:space="preserve">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w:t>
            </w:r>
            <w:r>
              <w:rPr>
                <w:rFonts w:ascii="Arial"/>
                <w:sz w:val="16"/>
              </w:rPr>
              <w:t>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t>Cross-reference:</w:t>
            </w:r>
            <w:r>
              <w:rPr>
                <w:rFonts w:ascii="Arial"/>
                <w:b/>
                <w:sz w:val="16"/>
              </w:rPr>
              <w:br/>
            </w:r>
            <w:r>
              <w:rPr>
                <w:rFonts w:ascii="Arial"/>
                <w:sz w:val="16"/>
              </w:rPr>
              <w:t>TEST_MATERIAL_INFORMATION</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Link to entity (multiple)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t>Cross-re</w:t>
            </w:r>
            <w:r>
              <w:rPr>
                <w:rFonts w:ascii="Arial"/>
                <w:b/>
                <w:sz w:val="16"/>
              </w:rPr>
              <w:t>ference:</w:t>
            </w:r>
            <w:r>
              <w:rPr>
                <w:rFonts w:ascii="Arial"/>
                <w:b/>
                <w:sz w:val="16"/>
              </w:rPr>
              <w:br/>
            </w:r>
            <w:r>
              <w:rPr>
                <w:rFonts w:ascii="Arial"/>
                <w:sz w:val="16"/>
              </w:rPr>
              <w:t>TEST_MATERIAL_INFORMATION</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w:t>
            </w:r>
            <w:r>
              <w:rPr>
                <w:rFonts w:ascii="Arial"/>
                <w:sz w:val="16"/>
              </w:rPr>
              <w:t>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w:t>
            </w:r>
            <w:r>
              <w:rPr>
                <w:rFonts w:ascii="Arial"/>
                <w:sz w:val="16"/>
              </w:rPr>
              <w:t xml:space="preserve">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w:t>
            </w:r>
            <w:r>
              <w:rPr>
                <w:rFonts w:ascii="Arial"/>
                <w:sz w:val="16"/>
              </w:rPr>
              <w:t xml:space="preserve">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t>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t>
            </w:r>
            <w:r>
              <w:rPr>
                <w:rFonts w:ascii="Arial"/>
                <w:sz w:val="16"/>
              </w:rPr>
              <w:t>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t>- Specify the relevant form characteristics if different from those in the starting material, such as state of aggregation, shape of particles or pa</w:t>
            </w:r>
            <w:r>
              <w:rPr>
                <w:rFonts w:ascii="Arial"/>
                <w:sz w:val="16"/>
              </w:rPr>
              <w:t>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w:t>
            </w:r>
            <w:r>
              <w:rPr>
                <w:rFonts w:ascii="Arial"/>
                <w:sz w:val="16"/>
              </w:rPr>
              <w: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w:t>
            </w:r>
            <w:r>
              <w:rPr>
                <w:rFonts w:ascii="Arial"/>
                <w:sz w:val="16"/>
              </w:rPr>
              <w:t xml:space="preserve">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Use this field for reporting specific details on the t</w:t>
            </w:r>
            <w:r>
              <w:rPr>
                <w:rFonts w:ascii="Arial"/>
                <w:sz w:val="16"/>
              </w:rPr>
              <w: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w:t>
            </w:r>
            <w:r>
              <w:rPr>
                <w:rFonts w:ascii="Arial"/>
                <w:sz w:val="16"/>
              </w:rPr>
              <w:t>te/add elements as appropriate. Enter any details that could be relevant for evaluating this study summary or that are requested by the respective regulatory programme. Consult the programme-specific guidance (e.g. OECD Programme, Pesticides NAFTA or EU RE</w:t>
            </w:r>
            <w:r>
              <w:rPr>
                <w:rFonts w:ascii="Arial"/>
                <w:sz w:val="16"/>
              </w:rPr>
              <w:t>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w:t>
            </w:r>
            <w:r>
              <w:rPr>
                <w:rFonts w:ascii="Arial"/>
                <w:sz w:val="16"/>
              </w:rPr>
              <w:t>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w:t>
            </w:r>
            <w:r>
              <w:rPr>
                <w:rFonts w:ascii="Arial"/>
                <w:sz w:val="16"/>
              </w:rPr>
              <w:t>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w:t>
            </w:r>
            <w:r>
              <w:rPr>
                <w:rFonts w:ascii="Arial"/>
                <w:sz w:val="16"/>
              </w:rPr>
              <w:t>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w:t>
            </w:r>
            <w:r>
              <w:rPr>
                <w:rFonts w:ascii="Arial"/>
                <w:sz w:val="16"/>
              </w:rPr>
              <w:t>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w:t>
            </w:r>
            <w:r>
              <w:rPr>
                <w:rFonts w:ascii="Arial"/>
                <w:sz w:val="16"/>
              </w:rPr>
              <w:t xml:space="preserv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w:t>
            </w:r>
            <w:r>
              <w:rPr>
                <w:rFonts w:ascii="Arial"/>
                <w:sz w:val="16"/>
              </w:rPr>
              <w:t xml:space="preser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Specific details on test material used for th</w:t>
            </w:r>
            <w:r>
              <w:rPr>
                <w:rFonts w:ascii="Arial"/>
                <w:sz w:val="16"/>
              </w:rPr>
              <w:t>e study (confidential)</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w:t>
            </w:r>
            <w:r>
              <w:rPr>
                <w:rFonts w:ascii="Arial"/>
                <w:sz w:val="16"/>
              </w:rPr>
              <w:lastRenderedPageBreak/>
              <w:t>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 xml:space="preserve">Use this field for reporting specific details on the test material as used for the study if they differ 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w:t>
            </w:r>
            <w:r>
              <w:rPr>
                <w:rFonts w:ascii="Arial"/>
                <w:sz w:val="16"/>
              </w:rPr>
              <w:t xml:space="preserv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w:t>
            </w:r>
            <w:r>
              <w:rPr>
                <w:rFonts w:ascii="Arial"/>
                <w:sz w:val="16"/>
              </w:rPr>
              <w:lastRenderedPageBreak/>
              <w:t>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50F64" w:rsidRDefault="00B21DF0">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50F64" w:rsidRDefault="00B21DF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xml:space="preserve">- rat - [common </w:t>
            </w:r>
            <w:r>
              <w:rPr>
                <w:rFonts w:ascii="Arial"/>
                <w:sz w:val="16"/>
              </w:rPr>
              <w:t>species]</w:t>
            </w:r>
            <w:r>
              <w:rPr>
                <w:rFonts w:ascii="Arial"/>
                <w:sz w:val="16"/>
              </w:rPr>
              <w:br/>
              <w:t>- cat - [other species]</w:t>
            </w:r>
            <w:r>
              <w:rPr>
                <w:rFonts w:ascii="Arial"/>
                <w:sz w:val="16"/>
              </w:rPr>
              <w:br/>
              <w:t>- cattle - [other species]</w:t>
            </w:r>
            <w:r>
              <w:rPr>
                <w:rFonts w:ascii="Arial"/>
                <w:sz w:val="16"/>
              </w:rPr>
              <w:br/>
              <w:t>- dog - [other species]</w:t>
            </w:r>
            <w:r>
              <w:rPr>
                <w:rFonts w:ascii="Arial"/>
                <w:sz w:val="16"/>
              </w:rPr>
              <w:br/>
              <w:t>- gerbil - [other species]</w:t>
            </w:r>
            <w:r>
              <w:rPr>
                <w:rFonts w:ascii="Arial"/>
                <w:sz w:val="16"/>
              </w:rPr>
              <w:br/>
              <w:t>- guinea pig - [other species]</w:t>
            </w:r>
            <w:r>
              <w:rPr>
                <w:rFonts w:ascii="Arial"/>
                <w:sz w:val="16"/>
              </w:rPr>
              <w:br/>
              <w:t>- hamster - [other species]</w:t>
            </w:r>
            <w:r>
              <w:rPr>
                <w:rFonts w:ascii="Arial"/>
                <w:sz w:val="16"/>
              </w:rPr>
              <w:br/>
              <w:t>- hamster, Armenian - [other species]</w:t>
            </w:r>
            <w:r>
              <w:rPr>
                <w:rFonts w:ascii="Arial"/>
                <w:sz w:val="16"/>
              </w:rPr>
              <w:br/>
              <w:t>- hamster, Chinese - [other species]</w:t>
            </w:r>
            <w:r>
              <w:rPr>
                <w:rFonts w:ascii="Arial"/>
                <w:sz w:val="16"/>
              </w:rPr>
              <w:br/>
              <w:t xml:space="preserve">- hamster, </w:t>
            </w:r>
            <w:r>
              <w:rPr>
                <w:rFonts w:ascii="Arial"/>
                <w:sz w:val="16"/>
              </w:rPr>
              <w:t>Syrian - [other species]</w:t>
            </w:r>
            <w:r>
              <w:rPr>
                <w:rFonts w:ascii="Arial"/>
                <w:sz w:val="16"/>
              </w:rPr>
              <w:br/>
              <w:t>- hen - [other species]</w:t>
            </w:r>
            <w:r>
              <w:rPr>
                <w:rFonts w:ascii="Arial"/>
                <w:sz w:val="16"/>
              </w:rPr>
              <w:br/>
              <w:t>- miniature swine - [other species]</w:t>
            </w:r>
            <w:r>
              <w:rPr>
                <w:rFonts w:ascii="Arial"/>
                <w:sz w:val="16"/>
              </w:rPr>
              <w:br/>
              <w:t>- monkey - [other species]</w:t>
            </w:r>
            <w:r>
              <w:rPr>
                <w:rFonts w:ascii="Arial"/>
                <w:sz w:val="16"/>
              </w:rPr>
              <w:br/>
              <w:t>- mouse - [other species]</w:t>
            </w:r>
            <w:r>
              <w:rPr>
                <w:rFonts w:ascii="Arial"/>
                <w:sz w:val="16"/>
              </w:rPr>
              <w:br/>
              <w:t>- pig - [other species]</w:t>
            </w:r>
            <w:r>
              <w:rPr>
                <w:rFonts w:ascii="Arial"/>
                <w:sz w:val="16"/>
              </w:rPr>
              <w:br/>
              <w:t>- primate - [other species]</w:t>
            </w:r>
            <w:r>
              <w:rPr>
                <w:rFonts w:ascii="Arial"/>
                <w:sz w:val="16"/>
              </w:rPr>
              <w:br/>
              <w:t>- rabbit - [other species]</w:t>
            </w:r>
            <w:r>
              <w:rPr>
                <w:rFonts w:ascii="Arial"/>
                <w:sz w:val="16"/>
              </w:rPr>
              <w:br/>
              <w:t>- sheep - [other species]</w:t>
            </w:r>
            <w:r>
              <w:rPr>
                <w:rFonts w:ascii="Arial"/>
                <w:sz w:val="16"/>
              </w:rPr>
              <w:br/>
              <w:t>- other: - [o</w:t>
            </w:r>
            <w:r>
              <w:rPr>
                <w:rFonts w:ascii="Arial"/>
                <w:sz w:val="16"/>
              </w:rPr>
              <w:t>ther species]</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Select name of species. If not available from picklist, select 'other' and specify.</w:t>
            </w:r>
            <w:r>
              <w:rPr>
                <w:rFonts w:ascii="Arial"/>
                <w:sz w:val="16"/>
              </w:rPr>
              <w:br/>
            </w:r>
            <w:r>
              <w:rPr>
                <w:rFonts w:ascii="Arial"/>
                <w:sz w:val="16"/>
              </w:rPr>
              <w:br/>
              <w:t>NOTE: Human data should be reported in an appropriate subsection of section 'Exposure related observations', particularly subsection 'Direct observations: cl</w:t>
            </w:r>
            <w:r>
              <w:rPr>
                <w:rFonts w:ascii="Arial"/>
                <w:sz w:val="16"/>
              </w:rPr>
              <w:t>inical cases, poisoning incidents and other'.</w:t>
            </w:r>
            <w:r>
              <w:rPr>
                <w:rFonts w:ascii="Arial"/>
                <w:sz w:val="16"/>
              </w:rPr>
              <w:br/>
            </w:r>
            <w:r>
              <w:rPr>
                <w:rFonts w:ascii="Arial"/>
                <w:sz w:val="16"/>
              </w:rPr>
              <w:br/>
              <w:t>It can be useful to document, in the section on acute toxicity, that human data are provided by creating a record and referring to the human data in field 'Cross-reference'. This could be relevant if lack of a</w:t>
            </w:r>
            <w:r>
              <w:rPr>
                <w:rFonts w:ascii="Arial"/>
                <w:sz w:val="16"/>
              </w:rPr>
              <w:t>nimal experiments is defended by the availability of data on experience with human exposure.</w:t>
            </w:r>
            <w:r>
              <w:rPr>
                <w:rFonts w:ascii="Arial"/>
                <w:sz w:val="16"/>
              </w:rPr>
              <w:br/>
            </w:r>
            <w:r>
              <w:rPr>
                <w:rFonts w:ascii="Arial"/>
                <w:sz w:val="16"/>
              </w:rPr>
              <w:br/>
              <w:t>Consult the programme-specific guidance (e.g. OECD HPVC, Pesticides NAFTA or EU REACH) as to whether human data should be referenced in the appropriate endpoint s</w:t>
            </w:r>
            <w:r>
              <w:rPr>
                <w:rFonts w:ascii="Arial"/>
                <w:sz w:val="16"/>
              </w:rPr>
              <w:t>ummary record.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r>
            <w:r>
              <w:rPr>
                <w:rFonts w:ascii="Arial"/>
                <w:sz w:val="16"/>
              </w:rPr>
              <w:lastRenderedPageBreak/>
              <w:t xml:space="preserve">- Brown Norway - </w:t>
            </w:r>
            <w:r>
              <w:rPr>
                <w:rFonts w:ascii="Arial"/>
                <w:sz w:val="16"/>
              </w:rPr>
              <w:t>[rat]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xml:space="preserve">- Dunkin-Hartley - [guinea </w:t>
            </w:r>
            <w:r>
              <w:rPr>
                <w:rFonts w:ascii="Arial"/>
                <w:sz w:val="16"/>
              </w:rPr>
              <w:t>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w:t>
            </w:r>
            <w:r>
              <w:rPr>
                <w:rFonts w:ascii="Arial"/>
                <w:sz w:val="16"/>
              </w:rPr>
              <w:t>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w:t>
            </w:r>
            <w:r>
              <w:rPr>
                <w:rFonts w:ascii="Arial"/>
                <w:sz w:val="16"/>
              </w:rPr>
              <w:t>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r>
            <w:r>
              <w:rPr>
                <w:rFonts w:ascii="Arial"/>
                <w:sz w:val="16"/>
              </w:rPr>
              <w:lastRenderedPageBreak/>
              <w:t>- Sencar - [mouse]</w:t>
            </w:r>
            <w:r>
              <w:rPr>
                <w:rFonts w:ascii="Arial"/>
                <w:sz w:val="16"/>
              </w:rPr>
              <w:br/>
              <w:t>- Sherman - [rat]</w:t>
            </w:r>
            <w:r>
              <w:rPr>
                <w:rFonts w:ascii="Arial"/>
                <w:sz w:val="16"/>
              </w:rPr>
              <w:br/>
              <w:t>- Shorthair - [guinea pig]</w:t>
            </w:r>
            <w:r>
              <w:rPr>
                <w:rFonts w:ascii="Arial"/>
                <w:sz w:val="16"/>
              </w:rPr>
              <w:br/>
              <w:t>- Sprague-Dawl</w:t>
            </w:r>
            <w:r>
              <w:rPr>
                <w:rFonts w:ascii="Arial"/>
                <w:sz w:val="16"/>
              </w:rPr>
              <w:t>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Select strain as appropriate. If not availabl</w:t>
            </w:r>
            <w:r>
              <w:rPr>
                <w:rFonts w:ascii="Arial"/>
                <w:sz w:val="16"/>
              </w:rPr>
              <w:t>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Select as appropriate. If females were used, indicate in field </w:t>
            </w:r>
            <w:r>
              <w:rPr>
                <w:rFonts w:ascii="Arial"/>
                <w:sz w:val="16"/>
              </w:rPr>
              <w:t>“</w:t>
            </w:r>
            <w:r>
              <w:rPr>
                <w:rFonts w:ascii="Arial"/>
                <w:sz w:val="16"/>
              </w:rPr>
              <w:t xml:space="preserve">Details on test animals and environmental </w:t>
            </w:r>
            <w:r>
              <w:rPr>
                <w:rFonts w:ascii="Arial"/>
                <w:sz w:val="16"/>
              </w:rPr>
              <w:t>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sz w:val="16"/>
              </w:rPr>
              <w:br/>
              <w:t>TEST ANIMALS</w:t>
            </w:r>
            <w:r>
              <w:rPr>
                <w:rFonts w:ascii="Arial"/>
                <w:sz w:val="16"/>
              </w:rPr>
              <w:br/>
              <w:t>- Rationale for alternative/additional species to rat (if applicable)</w:t>
            </w:r>
            <w:r>
              <w:rPr>
                <w:rFonts w:ascii="Arial"/>
                <w:sz w:val="16"/>
              </w:rPr>
              <w:br/>
            </w:r>
            <w:r>
              <w:rPr>
                <w:rFonts w:ascii="Arial"/>
                <w:sz w:val="16"/>
              </w:rPr>
              <w:t>- Source:</w:t>
            </w:r>
            <w:r>
              <w:rPr>
                <w:rFonts w:ascii="Arial"/>
                <w:sz w:val="16"/>
              </w:rPr>
              <w:br/>
              <w:t>- Females (if applicable) nulliparous and non-pregnant: [yes/no]</w:t>
            </w:r>
            <w:r>
              <w:rPr>
                <w:rFonts w:ascii="Arial"/>
                <w:sz w:val="16"/>
              </w:rPr>
              <w:br/>
              <w:t>- Rationale for use of males (if applicable)</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Historical data:</w:t>
            </w:r>
            <w:r>
              <w:rPr>
                <w:rFonts w:ascii="Arial"/>
                <w:sz w:val="16"/>
              </w:rPr>
              <w:br/>
              <w:t>- Diet (e.g. ad li</w:t>
            </w:r>
            <w:r>
              <w:rPr>
                <w:rFonts w:ascii="Arial"/>
                <w:sz w:val="16"/>
              </w:rPr>
              <w:t>bitum):</w:t>
            </w:r>
            <w:r>
              <w:rPr>
                <w:rFonts w:ascii="Arial"/>
                <w:sz w:val="16"/>
              </w:rPr>
              <w:br/>
              <w:t>- Water (e.g. ad libitum):</w:t>
            </w:r>
            <w:r>
              <w:rPr>
                <w:rFonts w:ascii="Arial"/>
                <w:sz w:val="16"/>
              </w:rPr>
              <w:br/>
              <w:t>- Acclimation period:</w:t>
            </w:r>
            <w:r>
              <w:rPr>
                <w:rFonts w:ascii="Arial"/>
                <w:sz w:val="16"/>
              </w:rPr>
              <w:br/>
              <w:t>- Microbiological status when known</w:t>
            </w:r>
            <w:r>
              <w:rPr>
                <w:rFonts w:ascii="Arial"/>
                <w:sz w:val="16"/>
              </w:rPr>
              <w:br/>
              <w:t>- Method of randomisation in assigning animals to test and control groups</w:t>
            </w:r>
            <w:r>
              <w:rPr>
                <w:rFonts w:ascii="Arial"/>
                <w:sz w:val="16"/>
              </w:rPr>
              <w:br/>
              <w:t xml:space="preserve">  </w:t>
            </w:r>
            <w:r>
              <w:rPr>
                <w:rFonts w:ascii="Arial"/>
                <w:sz w:val="16"/>
              </w:rPr>
              <w:br/>
              <w:t xml:space="preserve"> ENVIRONMENTAL CONDITIONS </w:t>
            </w:r>
            <w:r>
              <w:rPr>
                <w:rFonts w:ascii="Arial"/>
                <w:sz w:val="16"/>
              </w:rPr>
              <w:br/>
              <w:t xml:space="preserve"> - Temperature (</w:t>
            </w:r>
            <w:r>
              <w:rPr>
                <w:rFonts w:ascii="Arial"/>
                <w:sz w:val="16"/>
              </w:rPr>
              <w:t>°</w:t>
            </w:r>
            <w:r>
              <w:rPr>
                <w:rFonts w:ascii="Arial"/>
                <w:sz w:val="16"/>
              </w:rPr>
              <w:t xml:space="preserve">C):  </w:t>
            </w:r>
            <w:r>
              <w:rPr>
                <w:rFonts w:ascii="Arial"/>
                <w:sz w:val="16"/>
              </w:rPr>
              <w:br/>
            </w:r>
            <w:r>
              <w:rPr>
                <w:rFonts w:ascii="Arial"/>
                <w:sz w:val="16"/>
              </w:rPr>
              <w:lastRenderedPageBreak/>
              <w:t xml:space="preserve"> - Humidity (%):  </w:t>
            </w:r>
            <w:r>
              <w:rPr>
                <w:rFonts w:ascii="Arial"/>
                <w:sz w:val="16"/>
              </w:rPr>
              <w:br/>
              <w:t xml:space="preserve"> - Air changes (p</w:t>
            </w:r>
            <w:r>
              <w:rPr>
                <w:rFonts w:ascii="Arial"/>
                <w:sz w:val="16"/>
              </w:rPr>
              <w:t xml:space="preserve">er hr):  </w:t>
            </w:r>
            <w:r>
              <w:rPr>
                <w:rFonts w:ascii="Arial"/>
                <w:sz w:val="16"/>
              </w:rPr>
              <w:br/>
              <w:t xml:space="preserve"> - Photoperiod (hrs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Use freetext template and delete/add elements as appropriate. Enter any details that could be relevant for evaluating this study summary or that are requested by the respective</w:t>
            </w:r>
            <w:r>
              <w:rPr>
                <w:rFonts w:ascii="Arial"/>
                <w:sz w:val="16"/>
              </w:rPr>
              <w:t xml:space="preser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xml:space="preserve">- Diet: Describe type of diet (e.g. conventional laboratory diet / caloric restriction) and whether it was provided </w:t>
            </w:r>
            <w:r>
              <w:rPr>
                <w:rFonts w:ascii="Arial"/>
                <w:sz w:val="16"/>
              </w:rPr>
              <w:t>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xml:space="preserve">- Food quality and water quality: provide analytical information on the nutrient and dietary contaminant levels. Similarly provide analytical information on </w:t>
            </w:r>
            <w:r>
              <w:rPr>
                <w:rFonts w:ascii="Arial"/>
                <w:sz w:val="16"/>
              </w:rPr>
              <w:t>the drinking water used in the study.</w:t>
            </w:r>
            <w:r>
              <w:rPr>
                <w:rFonts w:ascii="Arial"/>
                <w:sz w:val="16"/>
              </w:rPr>
              <w:br/>
            </w:r>
            <w:r>
              <w:rPr>
                <w:rFonts w:ascii="Arial"/>
                <w:sz w:val="16"/>
              </w:rPr>
              <w:lastRenderedPageBreak/>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50F64" w:rsidRDefault="00B21DF0">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50F64" w:rsidRDefault="00B21DF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w:t>
            </w:r>
            <w:r>
              <w:rPr>
                <w:rFonts w:ascii="Arial"/>
                <w:sz w:val="16"/>
              </w:rPr>
              <w:t>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r>
            <w:r>
              <w:rPr>
                <w:rFonts w:ascii="Arial"/>
                <w:sz w:val="16"/>
              </w:rPr>
              <w:lastRenderedPageBreak/>
              <w:t>- physiological saline</w:t>
            </w:r>
            <w:r>
              <w:rPr>
                <w:rFonts w:ascii="Arial"/>
                <w:sz w:val="16"/>
              </w:rPr>
              <w:br/>
              <w:t>- poloxamer</w:t>
            </w:r>
            <w:r>
              <w:rPr>
                <w:rFonts w:ascii="Arial"/>
                <w:sz w:val="16"/>
              </w:rPr>
              <w:br/>
              <w:t>- polyethylene glycol</w:t>
            </w:r>
            <w:r>
              <w:rPr>
                <w:rFonts w:ascii="Arial"/>
                <w:sz w:val="16"/>
              </w:rPr>
              <w:br/>
              <w:t>- propylene gl</w:t>
            </w:r>
            <w:r>
              <w:rPr>
                <w:rFonts w:ascii="Arial"/>
                <w:sz w:val="16"/>
              </w:rPr>
              <w:t>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lastRenderedPageBreak/>
              <w:t>Select 'unchanged (no vehicle)' if none was used or select vehicle used if any. If not available from picklist, select 'other' and specify</w:t>
            </w:r>
            <w:r>
              <w:rPr>
                <w:rFonts w:ascii="Arial"/>
                <w:sz w:val="16"/>
              </w:rPr>
              <w:t>. Further information can be given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Details on oral exposure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 xml:space="preserve">Freetext </w:t>
            </w:r>
            <w:r>
              <w:rPr>
                <w:rFonts w:ascii="Arial"/>
                <w:b/>
                <w:sz w:val="16"/>
              </w:rPr>
              <w:t>template:</w:t>
            </w:r>
            <w:r>
              <w:rPr>
                <w:rFonts w:ascii="Arial"/>
                <w:sz w:val="16"/>
              </w:rPr>
              <w:br/>
              <w:t>VEHICLE</w:t>
            </w:r>
            <w:r>
              <w:rPr>
                <w:rFonts w:ascii="Arial"/>
                <w:sz w:val="16"/>
              </w:rPr>
              <w:br/>
              <w:t xml:space="preserve"> - Concentration in vehicle: </w:t>
            </w:r>
            <w:r>
              <w:rPr>
                <w:rFonts w:ascii="Arial"/>
                <w:sz w:val="16"/>
              </w:rPr>
              <w:br/>
              <w:t xml:space="preserve"> - Amount of vehicle (if gavage):</w:t>
            </w:r>
            <w:r>
              <w:rPr>
                <w:rFonts w:ascii="Arial"/>
                <w:sz w:val="16"/>
              </w:rPr>
              <w:br/>
              <w:t xml:space="preserve"> - Justification for choice of vehicle:</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MAXIMUM DOSE VOLUME APPLIED: </w:t>
            </w:r>
            <w:r>
              <w:rPr>
                <w:rFonts w:ascii="Arial"/>
                <w:sz w:val="16"/>
              </w:rPr>
              <w:br/>
              <w:t xml:space="preserve"> </w:t>
            </w:r>
            <w:r>
              <w:rPr>
                <w:rFonts w:ascii="Arial"/>
                <w:sz w:val="16"/>
              </w:rPr>
              <w:br/>
              <w:t xml:space="preserve"> DOSAGE PREPARATION (if unusual):</w:t>
            </w:r>
            <w:r>
              <w:rPr>
                <w:rFonts w:ascii="Arial"/>
                <w:sz w:val="16"/>
              </w:rPr>
              <w:br/>
              <w:t xml:space="preserve"> </w:t>
            </w:r>
            <w:r>
              <w:rPr>
                <w:rFonts w:ascii="Arial"/>
                <w:sz w:val="16"/>
              </w:rPr>
              <w:br/>
              <w:t xml:space="preserve"> CLASS METHOD (if </w:t>
            </w:r>
            <w:r>
              <w:rPr>
                <w:rFonts w:ascii="Arial"/>
                <w:sz w:val="16"/>
              </w:rPr>
              <w:t>applicable)</w:t>
            </w:r>
            <w:r>
              <w:rPr>
                <w:rFonts w:ascii="Arial"/>
                <w:sz w:val="16"/>
              </w:rPr>
              <w:br/>
              <w:t xml:space="preserve"> - Rationale for the selection of the starting dose:</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Indicate details of oral exposure. Use 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Doses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(2,000 char.)</w:t>
            </w:r>
            <w:r>
              <w:rPr>
                <w:rFonts w:ascii="Arial"/>
                <w:sz w:val="16"/>
              </w:rPr>
              <w:br/>
            </w:r>
            <w:r>
              <w:rPr>
                <w:rFonts w:ascii="Arial"/>
                <w:sz w:val="16"/>
              </w:rPr>
              <w:br/>
              <w:t>Di</w:t>
            </w:r>
            <w:r>
              <w:rPr>
                <w:rFonts w:ascii="Arial"/>
                <w:sz w:val="16"/>
              </w:rPr>
              <w:t>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Include the doses including unit administered to the test animals, '5, 50, 500 and 2000 mg/kg bw'. As appropriate include notes in parentheses, e.g. '(male)'.</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Enter value </w:t>
            </w:r>
            <w:r>
              <w:rPr>
                <w:rFonts w:ascii="Arial"/>
                <w:sz w:val="16"/>
              </w:rPr>
              <w:t>or specify according to dose if different number of animals per dose, e.g. '10 (controls), 5 (in dose groups)'.</w:t>
            </w:r>
            <w:r>
              <w:rPr>
                <w:rFonts w:ascii="Arial"/>
                <w:sz w:val="16"/>
              </w:rPr>
              <w:br/>
            </w:r>
            <w:r>
              <w:rPr>
                <w:rFonts w:ascii="Arial"/>
                <w:sz w:val="16"/>
              </w:rPr>
              <w:br/>
              <w:t>For robust study summaries or as requested by the regulatory programme, also include a detailed table on the animal assignment in the rich text</w:t>
            </w:r>
            <w:r>
              <w:rPr>
                <w:rFonts w:ascii="Arial"/>
                <w:sz w:val="16"/>
              </w:rPr>
              <w:t xml:space="preserve"> field 'Any other information on results incl. tables'. Upload predefined table(s) if any or </w:t>
            </w:r>
            <w:r>
              <w:rPr>
                <w:rFonts w:ascii="Arial"/>
                <w:sz w:val="16"/>
              </w:rPr>
              <w:lastRenderedPageBreak/>
              <w:t>adapt table(s) from study report. Use table numbers in the sequence in which you refer to them in the Remarks text (e.g. '... see Table 1').</w:t>
            </w:r>
            <w:r>
              <w:rPr>
                <w:rFonts w:ascii="Arial"/>
                <w:sz w:val="16"/>
              </w:rPr>
              <w:br/>
            </w:r>
            <w:r>
              <w:rPr>
                <w:rFonts w:ascii="Arial"/>
                <w:sz w:val="16"/>
              </w:rPr>
              <w:br/>
              <w:t>Note: Specific tables</w:t>
            </w:r>
            <w:r>
              <w:rPr>
                <w:rFonts w:ascii="Arial"/>
                <w:sz w:val="16"/>
              </w:rPr>
              <w:t xml:space="preserve">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Indicate whether </w:t>
            </w:r>
            <w:r>
              <w:rPr>
                <w:rFonts w:ascii="Arial"/>
                <w:sz w:val="16"/>
              </w:rPr>
              <w:t>concurrent control group was used.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sz w:val="16"/>
              </w:rPr>
              <w:br/>
              <w:t>- Duration of observation period following administration: 14 days (or other?)</w:t>
            </w:r>
            <w:r>
              <w:rPr>
                <w:rFonts w:ascii="Arial"/>
                <w:sz w:val="16"/>
              </w:rPr>
              <w:br/>
              <w:t>- Frequency of observations and weighing:</w:t>
            </w:r>
            <w:r>
              <w:rPr>
                <w:rFonts w:ascii="Arial"/>
                <w:sz w:val="16"/>
              </w:rPr>
              <w:br/>
              <w:t>- Necropsy of survivo</w:t>
            </w:r>
            <w:r>
              <w:rPr>
                <w:rFonts w:ascii="Arial"/>
                <w:sz w:val="16"/>
              </w:rPr>
              <w:t>rs performed: yes/no</w:t>
            </w:r>
            <w:r>
              <w:rPr>
                <w:rFonts w:ascii="Arial"/>
                <w:sz w:val="16"/>
              </w:rPr>
              <w:br/>
              <w:t>- Clinical signs including body weight</w:t>
            </w:r>
            <w:r>
              <w:rPr>
                <w:rFonts w:ascii="Arial"/>
                <w:sz w:val="16"/>
              </w:rPr>
              <w:br/>
              <w:t>- Other examinations performed: clinical signs, body weight,organ weights, histopathology,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Include any further details on the study design, i.e. observation period, frequency of </w:t>
            </w:r>
            <w:r>
              <w:rPr>
                <w:rFonts w:ascii="Arial"/>
                <w:sz w:val="16"/>
              </w:rPr>
              <w:t>observations/weighing, necropsy of survivors and other examinations performed.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Indicate the method of calculating the LD50 or other.</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50F64" w:rsidRDefault="00B21DF0">
            <w:r>
              <w:rPr>
                <w:rFonts w:ascii="Arial"/>
                <w:b/>
                <w:sz w:val="16"/>
              </w:rPr>
              <w:t xml:space="preserve">Any </w:t>
            </w:r>
            <w:r>
              <w:rPr>
                <w:rFonts w:ascii="Arial"/>
                <w:b/>
                <w:sz w:val="16"/>
              </w:rPr>
              <w:t>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50F64" w:rsidRDefault="00B21DF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750F64"/>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 this field, you can enter any information on materials and methods, for which no distinct field is available, or transfer free text from other </w:t>
            </w:r>
            <w:r>
              <w:rPr>
                <w:rFonts w:ascii="Arial"/>
                <w:sz w:val="16"/>
              </w:rPr>
              <w:t xml:space="preserve">databases. You can also open a rich text editor and create formatted text and tables or insert </w:t>
            </w:r>
            <w:r>
              <w:rPr>
                <w:rFonts w:ascii="Arial"/>
                <w:sz w:val="16"/>
              </w:rPr>
              <w:lastRenderedPageBreak/>
              <w:t>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Text </w:t>
            </w:r>
            <w:r>
              <w:rPr>
                <w:rFonts w:ascii="Arial"/>
                <w:sz w:val="16"/>
              </w:rPr>
              <w:t>(2,000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Summarise evidence of toxicity and mortality of any preliminary sighting study.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50F64" w:rsidRDefault="00B21DF0">
            <w:r>
              <w:rPr>
                <w:rFonts w:ascii="Arial"/>
                <w:b/>
                <w:sz w:val="16"/>
              </w:rPr>
              <w:t>Effect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Provide the LD50 with confidence limits if available and/or other effect levels reported.</w:t>
            </w:r>
            <w:r>
              <w:rPr>
                <w:rFonts w:ascii="Arial"/>
                <w:sz w:val="16"/>
              </w:rPr>
              <w:t xml:space="preserve"> Copy this field block for each effect level.</w:t>
            </w:r>
            <w:r>
              <w:rPr>
                <w:rFonts w:ascii="Arial"/>
                <w:sz w:val="16"/>
              </w:rPr>
              <w:br/>
            </w:r>
            <w:r>
              <w:rPr>
                <w:rFonts w:ascii="Arial"/>
                <w:sz w:val="16"/>
              </w:rPr>
              <w:br/>
              <w:t>If both sexes were tested at each dose level, then the combined effect level should be stated. Where there are significant differences in response between the sexes, include the effect levels for both.</w:t>
            </w:r>
            <w:r>
              <w:rPr>
                <w:rFonts w:ascii="Arial"/>
                <w:sz w:val="16"/>
              </w:rPr>
              <w:br/>
            </w:r>
            <w:r>
              <w:rPr>
                <w:rFonts w:ascii="Arial"/>
                <w:sz w:val="16"/>
              </w:rPr>
              <w:br/>
              <w:t>If the</w:t>
            </w:r>
            <w:r>
              <w:rPr>
                <w:rFonts w:ascii="Arial"/>
                <w:sz w:val="16"/>
              </w:rPr>
              <w:t xml:space="preserve"> test was conducted according to the fixed dose procedure, include the discriminating dose, i.e. the highest out of the four fixed dose levels which can be administered without causing compound-related mortality (including human kills).</w:t>
            </w:r>
            <w:r>
              <w:rPr>
                <w:rFonts w:ascii="Arial"/>
                <w:sz w:val="16"/>
              </w:rPr>
              <w:br/>
            </w:r>
            <w:r>
              <w:rPr>
                <w:rFonts w:ascii="Arial"/>
                <w:sz w:val="16"/>
              </w:rPr>
              <w:br/>
              <w:t>If no LD50 or othe</w:t>
            </w:r>
            <w:r>
              <w:rPr>
                <w:rFonts w:ascii="Arial"/>
                <w:sz w:val="16"/>
              </w:rPr>
              <w:t>r endpoint available from picklist is reported, but only a dose level, specify this dose using 'other' and indicate the effects observed in subfield 'Remarks on result'.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 xml:space="preserve">Set this flag for identifying the key </w:t>
            </w:r>
            <w:r>
              <w:rPr>
                <w:rFonts w:ascii="Arial"/>
                <w:sz w:val="16"/>
              </w:rPr>
              <w:t>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LD0</w:t>
            </w:r>
            <w:r>
              <w:rPr>
                <w:rFonts w:ascii="Arial"/>
                <w:sz w:val="16"/>
              </w:rPr>
              <w:br/>
              <w:t>- LD50</w:t>
            </w:r>
            <w:r>
              <w:rPr>
                <w:rFonts w:ascii="Arial"/>
                <w:sz w:val="16"/>
              </w:rPr>
              <w:br/>
              <w:t>- LD100</w:t>
            </w:r>
            <w:r>
              <w:rPr>
                <w:rFonts w:ascii="Arial"/>
                <w:sz w:val="16"/>
              </w:rPr>
              <w:br/>
              <w:t>- LDLo</w:t>
            </w:r>
            <w:r>
              <w:rPr>
                <w:rFonts w:ascii="Arial"/>
                <w:sz w:val="16"/>
              </w:rPr>
              <w:br/>
              <w:t>- approximate LD50</w:t>
            </w:r>
            <w:r>
              <w:rPr>
                <w:rFonts w:ascii="Arial"/>
                <w:sz w:val="16"/>
              </w:rPr>
              <w:br/>
              <w:t>- discriminating dose</w:t>
            </w:r>
            <w:r>
              <w:rPr>
                <w:rFonts w:ascii="Arial"/>
                <w:sz w:val="16"/>
              </w:rPr>
              <w:br/>
              <w:t xml:space="preserve">- LD50 </w:t>
            </w:r>
            <w:r>
              <w:rPr>
                <w:rFonts w:ascii="Arial"/>
                <w:sz w:val="16"/>
              </w:rPr>
              <w:t>cut-off</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Select the relevant dose descriptor from drop-down list, i.e. the exposure level that corresponds to a quantified level of effects. If a fixed dose procedure was used, select 'discriminating dose', i.e the dose causing evident toxicity but</w:t>
            </w:r>
            <w:r>
              <w:rPr>
                <w:rFonts w:ascii="Arial"/>
                <w:sz w:val="16"/>
              </w:rPr>
              <w:t xml:space="preserve"> not mortality. With the up-and-down procedure an 'approximate LD50' may be derived.</w:t>
            </w:r>
            <w:r>
              <w:rPr>
                <w:rFonts w:ascii="Arial"/>
                <w:sz w:val="16"/>
              </w:rPr>
              <w:br/>
            </w:r>
            <w:r>
              <w:rPr>
                <w:rFonts w:ascii="Arial"/>
                <w:sz w:val="16"/>
              </w:rPr>
              <w:br/>
              <w:t>Where no value could be achieved based on the method and boundaries used, the upper or lower dose level for the relevant dose descriptor can be reported as appropriate wi</w:t>
            </w:r>
            <w:r>
              <w:rPr>
                <w:rFonts w:ascii="Arial"/>
                <w:sz w:val="16"/>
              </w:rPr>
              <w:t>th relevant qualifier, e.g. LD50 &gt;10 mg/kg bw or LD50 &lt;10 mg/kg bw.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lastRenderedPageBreak/>
              <w:t>Picklist values:</w:t>
            </w:r>
            <w:r>
              <w:rPr>
                <w:rFonts w:ascii="Arial"/>
                <w:sz w:val="16"/>
              </w:rPr>
              <w:br/>
              <w:t>- CFU/kg bw</w:t>
            </w:r>
            <w:r>
              <w:rPr>
                <w:rFonts w:ascii="Arial"/>
                <w:sz w:val="16"/>
              </w:rPr>
              <w:br/>
              <w:t>- IU/kg bw</w:t>
            </w:r>
            <w:r>
              <w:rPr>
                <w:rFonts w:ascii="Arial"/>
                <w:sz w:val="16"/>
              </w:rPr>
              <w:br/>
              <w:t>- OB/kg bw</w:t>
            </w:r>
            <w:r>
              <w:rPr>
                <w:rFonts w:ascii="Arial"/>
                <w:sz w:val="16"/>
              </w:rPr>
              <w:br/>
              <w:t>- mL/kg bw</w:t>
            </w:r>
            <w:r>
              <w:rPr>
                <w:rFonts w:ascii="Arial"/>
                <w:sz w:val="16"/>
              </w:rPr>
              <w:br/>
              <w:t>- mg/kg bw</w:t>
            </w:r>
            <w:r>
              <w:rPr>
                <w:rFonts w:ascii="Arial"/>
                <w:sz w:val="16"/>
              </w:rPr>
              <w:br/>
              <w:t>- mg/m</w:t>
            </w:r>
            <w:r>
              <w:rPr>
                <w:rFonts w:ascii="Arial"/>
                <w:sz w:val="16"/>
              </w:rPr>
              <w:t>²</w:t>
            </w:r>
            <w:r>
              <w:rPr>
                <w:rFonts w:ascii="Arial"/>
                <w:sz w:val="16"/>
              </w:rPr>
              <w:br/>
              <w:t>- spores/kg bw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lastRenderedPageBreak/>
              <w:t>Enter a single numeric value in the first numeric f</w:t>
            </w:r>
            <w:r>
              <w:rPr>
                <w:rFonts w:ascii="Arial"/>
                <w:sz w:val="16"/>
              </w:rPr>
              <w:t>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w:t>
            </w:r>
            <w:r>
              <w:rPr>
                <w:rFonts w:ascii="Arial"/>
                <w:sz w:val="16"/>
              </w:rPr>
              <w:t>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Indicate whether the concentration is based on the test material (test mat.), active ingredient (act. ingr.) or element. As appropriate the measured / addressed fraction can be specified for either of these entities by selecting the r</w:t>
            </w:r>
            <w:r>
              <w:rPr>
                <w:rFonts w:ascii="Arial"/>
                <w:sz w:val="16"/>
              </w:rPr>
              <w:t>elevant item, e.g. 'element (dissolved fraction)' or 'test mat. (total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95% CL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 xml:space="preserve">For robust study summaries or as requested by the </w:t>
            </w:r>
            <w:r>
              <w:rPr>
                <w:rFonts w:ascii="Arial"/>
                <w:sz w:val="16"/>
              </w:rPr>
              <w:t>regulatory programme, provide the 95% confidence limits if available.</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w:t>
            </w:r>
            <w:r>
              <w:rPr>
                <w:rFonts w:ascii="Arial"/>
                <w:sz w:val="16"/>
              </w:rPr>
              <w:t>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50F64" w:rsidRDefault="00B21DF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w:t>
            </w:r>
            <w:r>
              <w:rPr>
                <w:rFonts w:ascii="Arial"/>
                <w:sz w:val="16"/>
              </w:rPr>
              <w:t xml:space="preserve"> numeric value is provided, e.g. by selecting 'not </w:t>
            </w:r>
            <w:r>
              <w:rPr>
                <w:rFonts w:ascii="Arial"/>
                <w:sz w:val="16"/>
              </w:rPr>
              <w:lastRenderedPageBreak/>
              <w:t>determinable' and entering 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Block of fields (re</w:t>
            </w:r>
            <w:r>
              <w:rPr>
                <w:rFonts w:ascii="Arial"/>
                <w:b/>
                <w:sz w:val="16"/>
              </w:rPr>
              <w:t>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 the case of a fixed dose study, summarise evidence of toxicity and mortality of any preliminary sighting study at the fixed doses administered.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List multi. </w:t>
            </w:r>
            <w:r>
              <w:rPr>
                <w:rFonts w:ascii="Arial"/>
                <w:sz w:val="16"/>
              </w:rPr>
              <w:t>(multi-select 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bodyweight loss</w:t>
            </w:r>
            <w:r>
              <w:rPr>
                <w:rFonts w:ascii="Arial"/>
                <w:sz w:val="16"/>
              </w:rPr>
              <w:br/>
              <w:t>- coma</w:t>
            </w:r>
            <w:r>
              <w:rPr>
                <w:rFonts w:ascii="Arial"/>
                <w:sz w:val="16"/>
              </w:rPr>
              <w:br/>
              <w:t>- convulsions</w:t>
            </w:r>
            <w:r>
              <w:rPr>
                <w:rFonts w:ascii="Arial"/>
                <w:sz w:val="16"/>
              </w:rPr>
              <w:br/>
              <w:t>- diarrhoea</w:t>
            </w:r>
            <w:r>
              <w:rPr>
                <w:rFonts w:ascii="Arial"/>
                <w:sz w:val="16"/>
              </w:rPr>
              <w:br/>
              <w:t>- irregular respiration</w:t>
            </w:r>
            <w:r>
              <w:rPr>
                <w:rFonts w:ascii="Arial"/>
                <w:sz w:val="16"/>
              </w:rPr>
              <w:br/>
              <w:t>- lethargy (hypoactivity)</w:t>
            </w:r>
            <w:r>
              <w:rPr>
                <w:rFonts w:ascii="Arial"/>
                <w:sz w:val="16"/>
              </w:rPr>
              <w:br/>
              <w:t>- observations of tremors</w:t>
            </w:r>
            <w:r>
              <w:rPr>
                <w:rFonts w:ascii="Arial"/>
                <w:sz w:val="16"/>
              </w:rPr>
              <w:br/>
              <w:t>- salivation</w:t>
            </w:r>
            <w:r>
              <w:rPr>
                <w:rFonts w:ascii="Arial"/>
                <w:sz w:val="16"/>
              </w:rPr>
              <w:br/>
              <w:t>- sleep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Briefly describe</w:t>
            </w:r>
            <w:r>
              <w:rPr>
                <w:rFonts w:ascii="Arial"/>
                <w:sz w:val="16"/>
              </w:rPr>
              <w:t xml:space="preserve"> significant effects found, including the numbers of animals showing signs, time of onset, duration of the major clinical signs and time when most animals recovered. Do not dwell on effects that are most likely due to agonal death. Focus on any important f</w:t>
            </w:r>
            <w:r>
              <w:rPr>
                <w:rFonts w:ascii="Arial"/>
                <w:sz w:val="16"/>
              </w:rPr>
              <w:t>indings, i.e. compound-related or suspected related effects. In case particular effects are considered control-related e.g. because of abnormal control values, this should be specifically addressed.</w:t>
            </w:r>
            <w:r>
              <w:rPr>
                <w:rFonts w:ascii="Arial"/>
                <w:sz w:val="16"/>
              </w:rPr>
              <w:br/>
            </w:r>
            <w:r>
              <w:rPr>
                <w:rFonts w:ascii="Arial"/>
                <w:sz w:val="16"/>
              </w:rPr>
              <w:br/>
              <w:t>Note if there was a NOAEL for clinical findings.</w:t>
            </w:r>
            <w:r>
              <w:rPr>
                <w:rFonts w:ascii="Arial"/>
                <w:sz w:val="16"/>
              </w:rPr>
              <w:br/>
            </w:r>
            <w:r>
              <w:rPr>
                <w:rFonts w:ascii="Arial"/>
                <w:sz w:val="16"/>
              </w:rPr>
              <w:br/>
              <w:t>If the</w:t>
            </w:r>
            <w:r>
              <w:rPr>
                <w:rFonts w:ascii="Arial"/>
                <w:sz w:val="16"/>
              </w:rPr>
              <w:t xml:space="preserve"> fixed dose method was used, indicate if animals appeared to recover completely and state if there were no obvious substance-related signs of toxicity.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Body weight</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xml:space="preserve">- </w:t>
            </w:r>
            <w:r>
              <w:rPr>
                <w:rFonts w:ascii="Arial"/>
                <w:sz w:val="16"/>
              </w:rPr>
              <w:t>greater than 10% body weight loss</w:t>
            </w:r>
            <w:r>
              <w:rPr>
                <w:rFonts w:ascii="Arial"/>
                <w:sz w:val="16"/>
              </w:rPr>
              <w:br/>
              <w:t>- lower than 10% body weight loss</w:t>
            </w:r>
            <w:r>
              <w:rPr>
                <w:rFonts w:ascii="Arial"/>
                <w:sz w:val="16"/>
              </w:rPr>
              <w:br/>
              <w:t>- other body weight observations</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Briefly describe whether animals gained or lost weight. Indicate if body weight loss was greater than 10%.</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Gross pathology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(2,000 char.)</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Briefly describe whether there were any treatment related effects. Do not stress effects due to agonal death.</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Other findings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Freetext template:</w:t>
            </w:r>
            <w:r>
              <w:rPr>
                <w:rFonts w:ascii="Arial"/>
                <w:sz w:val="16"/>
              </w:rPr>
              <w:br/>
              <w:t xml:space="preserve">- Organ weights: </w:t>
            </w:r>
            <w:r>
              <w:rPr>
                <w:rFonts w:ascii="Arial"/>
                <w:sz w:val="16"/>
              </w:rPr>
              <w:br/>
              <w:t xml:space="preserve"> - Histopathology: </w:t>
            </w:r>
            <w:r>
              <w:rPr>
                <w:rFonts w:ascii="Arial"/>
                <w:sz w:val="16"/>
              </w:rPr>
              <w:br/>
              <w:t xml:space="preserve"> - Potential target organs: </w:t>
            </w:r>
            <w:r>
              <w:rPr>
                <w:rFonts w:ascii="Arial"/>
                <w:sz w:val="16"/>
              </w:rPr>
              <w:br/>
              <w:t xml:space="preserve"> - Other observations:</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Include any further results using freetext template as appropriate. If applicable, briefly describe whether there were any treatment related differences in organ weights or histopathology and state if potential target organs were id</w:t>
            </w:r>
            <w:r>
              <w:rPr>
                <w:rFonts w:ascii="Arial"/>
                <w:sz w:val="16"/>
              </w:rPr>
              <w:t>entified.</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750F64" w:rsidRDefault="00B21DF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50F64" w:rsidRDefault="00B21DF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750F64"/>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 this field, you can enter any other remarks on results. You can also open a rich text editor and create formatted text and tables or insert </w:t>
            </w:r>
            <w:r>
              <w:rPr>
                <w:rFonts w:ascii="Arial"/>
                <w:sz w:val="16"/>
              </w:rPr>
              <w:t>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w:t>
            </w:r>
            <w:r>
              <w:rPr>
                <w:rFonts w:ascii="Arial"/>
                <w:sz w:val="16"/>
              </w:rPr>
              <w:t>'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In this field, you can enter any overall remarks or transfer free text from other databases. You can also </w:t>
            </w:r>
            <w:r>
              <w:rPr>
                <w:rFonts w:ascii="Arial"/>
                <w:sz w:val="16"/>
              </w:rPr>
              <w:t xml:space="preserve">open a rich text editor and create formatted text and tables or insert and edit any excerpt from a word processing or spreadsheet document, provided it was converted to the HTML format. You can also upload any htm or </w:t>
            </w:r>
            <w:r>
              <w:rPr>
                <w:rFonts w:ascii="Arial"/>
                <w:sz w:val="16"/>
              </w:rPr>
              <w:lastRenderedPageBreak/>
              <w:t>html document.</w:t>
            </w:r>
            <w:r>
              <w:rPr>
                <w:rFonts w:ascii="Arial"/>
                <w:sz w:val="16"/>
              </w:rPr>
              <w:br/>
            </w:r>
            <w:r>
              <w:rPr>
                <w:rFonts w:ascii="Arial"/>
                <w:sz w:val="16"/>
              </w:rPr>
              <w:br/>
              <w:t>Note: One rich text edi</w:t>
            </w:r>
            <w:r>
              <w:rPr>
                <w:rFonts w:ascii="Arial"/>
                <w:sz w:val="16"/>
              </w:rPr>
              <w:t>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50F64" w:rsidRDefault="00B21DF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Attach any background document that can</w:t>
            </w:r>
            <w:r>
              <w:rPr>
                <w:rFonts w:ascii="Arial"/>
                <w:sz w:val="16"/>
              </w:rPr>
              <w:t>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Picklist values:</w:t>
            </w:r>
            <w:r>
              <w:rPr>
                <w:rFonts w:ascii="Arial"/>
                <w:sz w:val="16"/>
              </w:rPr>
              <w:br/>
              <w:t>- full study report</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 xml:space="preserve">An electronic copy of the full study report or other documents can be attached as </w:t>
            </w:r>
            <w:r>
              <w:rPr>
                <w:rFonts w:ascii="Arial"/>
                <w:sz w:val="16"/>
              </w:rPr>
              <w:t>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sz w:val="16"/>
              </w:rPr>
              <w:t xml:space="preserve">An electronic copy of a public (non-confidential) version of the full study report or other relevant documents can be attached. This </w:t>
            </w:r>
            <w:r>
              <w:rPr>
                <w:rFonts w:ascii="Arial"/>
                <w:sz w:val="16"/>
              </w:rPr>
              <w:t>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50F64" w:rsidRDefault="00B21DF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50F64" w:rsidRDefault="00750F6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50F64" w:rsidRDefault="00B21DF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50F64" w:rsidRDefault="00750F6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50F64" w:rsidRDefault="00B21DF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50F64" w:rsidRDefault="00B21DF0">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50F64" w:rsidRDefault="00750F6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Image upload</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Upload file by clicking the upload icon. As appropriate, enter any additional information, e.g. language. The file name is 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50F64" w:rsidRDefault="00B21DF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50F64" w:rsidRDefault="00B21DF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50F64" w:rsidRDefault="00750F6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B21DF0">
            <w:r>
              <w:rPr>
                <w:rFonts w:ascii="Arial"/>
                <w:b/>
                <w:sz w:val="16"/>
              </w:rPr>
              <w:t>Picklist values:</w:t>
            </w:r>
            <w:r>
              <w:rPr>
                <w:rFonts w:ascii="Arial"/>
                <w:sz w:val="16"/>
              </w:rPr>
              <w:br/>
              <w:t>- Category 1 based on GHS criteria</w:t>
            </w:r>
            <w:r>
              <w:rPr>
                <w:rFonts w:ascii="Arial"/>
                <w:sz w:val="16"/>
              </w:rPr>
              <w:br/>
              <w:t>- Category 2 based on GHS criteria</w:t>
            </w:r>
            <w:r>
              <w:rPr>
                <w:rFonts w:ascii="Arial"/>
                <w:sz w:val="16"/>
              </w:rPr>
              <w:br/>
              <w:t xml:space="preserve">- Category 3 based on GHS </w:t>
            </w:r>
            <w:r>
              <w:rPr>
                <w:rFonts w:ascii="Arial"/>
                <w:sz w:val="16"/>
              </w:rPr>
              <w:t>criteria</w:t>
            </w:r>
            <w:r>
              <w:rPr>
                <w:rFonts w:ascii="Arial"/>
                <w:sz w:val="16"/>
              </w:rPr>
              <w:br/>
              <w:t>- Category 4 based on GHS criteria</w:t>
            </w:r>
            <w:r>
              <w:rPr>
                <w:rFonts w:ascii="Arial"/>
                <w:sz w:val="16"/>
              </w:rPr>
              <w:br/>
              <w:t>- Category 5 based on GHS criteria</w:t>
            </w:r>
            <w:r>
              <w:rPr>
                <w:rFonts w:ascii="Arial"/>
                <w:sz w:val="16"/>
              </w:rPr>
              <w:br/>
              <w:t>- study cannot be used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Conclude if the study results fall under relevant classification criteria of the Globally Harmonised Sy</w:t>
            </w:r>
            <w:r>
              <w:rPr>
                <w:rFonts w:ascii="Arial"/>
                <w:sz w:val="16"/>
              </w:rPr>
              <w:t>stem of Classification and Labelling of Chemicals (UN GHS). Further explanations can be entered in the supplementary remarks field.</w:t>
            </w:r>
            <w:r>
              <w:rPr>
                <w:rFonts w:ascii="Arial"/>
                <w:sz w:val="16"/>
              </w:rPr>
              <w:br/>
            </w:r>
            <w:r>
              <w:rPr>
                <w:rFonts w:ascii="Arial"/>
                <w:sz w:val="16"/>
              </w:rPr>
              <w:br/>
              <w:t>Note that a classification in the strict sense cannot always be based on an individual study, but includes a weight of evid</w:t>
            </w:r>
            <w:r>
              <w:rPr>
                <w:rFonts w:ascii="Arial"/>
                <w:sz w:val="16"/>
              </w:rPr>
              <w:t>ence evaluation of all relevant data. To this end wording such as 'is classified in Category 1' should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750F64" w:rsidRDefault="00B21DF0">
            <w:r>
              <w:rPr>
                <w:rFonts w:ascii="Arial"/>
                <w:b/>
                <w:sz w:val="16"/>
              </w:rPr>
              <w:t>Guidance for data migration:</w:t>
            </w:r>
            <w:r>
              <w:rPr>
                <w:rFonts w:ascii="Arial"/>
                <w:b/>
                <w:sz w:val="16"/>
              </w:rPr>
              <w:br/>
            </w:r>
            <w:r>
              <w:rPr>
                <w:rFonts w:ascii="Arial"/>
                <w:sz w:val="16"/>
              </w:rPr>
              <w:t xml:space="preserve">If the source field contains a toxicity </w:t>
            </w:r>
            <w:r>
              <w:rPr>
                <w:rFonts w:ascii="Arial"/>
                <w:sz w:val="16"/>
              </w:rPr>
              <w:t>category and 'OECD GHS' is indicated in the removed field 'Criteria used for interpretation of results', the matching target phrase is selected. Otherwise the value is migrated as obsolete phrase and the default text 'Migrated information' is entered in th</w:t>
            </w:r>
            <w:r>
              <w:rPr>
                <w:rFonts w:ascii="Arial"/>
                <w:sz w:val="16"/>
              </w:rPr>
              <w:t>e supplementary remarks field. In addition the value of field 'Criteria used for interpretation of results' is preceded by the field label and entered as new line in the remarks field.</w:t>
            </w:r>
          </w:p>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Enter any conclusion</w:t>
            </w:r>
            <w:r>
              <w:rPr>
                <w:rFonts w:ascii="Arial"/>
                <w:sz w:val="16"/>
              </w:rPr>
              <w:t>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r w:rsidR="00750F6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50F64" w:rsidRDefault="00750F6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50F64" w:rsidRDefault="00B21DF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50F64" w:rsidRDefault="00750F64"/>
        </w:tc>
        <w:tc>
          <w:tcPr>
            <w:tcW w:w="3709" w:type="dxa"/>
            <w:tcBorders>
              <w:top w:val="outset" w:sz="6" w:space="0" w:color="auto"/>
              <w:left w:val="outset" w:sz="6" w:space="0" w:color="auto"/>
              <w:bottom w:val="outset" w:sz="6" w:space="0" w:color="FFFFFF"/>
              <w:right w:val="outset" w:sz="6" w:space="0" w:color="auto"/>
            </w:tcBorders>
          </w:tcPr>
          <w:p w:rsidR="00750F64" w:rsidRDefault="00B21DF0">
            <w:r>
              <w:rPr>
                <w:rFonts w:ascii="Arial"/>
                <w:sz w:val="16"/>
              </w:rPr>
              <w:t xml:space="preserve">If relevant for the respective regulatory programme, briefly summarise the </w:t>
            </w:r>
            <w:r>
              <w:rPr>
                <w:rFonts w:ascii="Arial"/>
                <w:sz w:val="16"/>
              </w:rPr>
              <w:t>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 xml:space="preserve">Consult the programme-specific guidance (e.g. </w:t>
            </w:r>
            <w:r>
              <w:rPr>
                <w:rFonts w:ascii="Arial"/>
                <w:sz w:val="16"/>
              </w:rPr>
              <w:lastRenderedPageBreak/>
              <w:t>OECD Programme, Pe</w:t>
            </w:r>
            <w:r>
              <w:rPr>
                <w:rFonts w:ascii="Arial"/>
                <w:sz w:val="16"/>
              </w:rPr>
              <w:t>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750F64" w:rsidRDefault="00750F6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B21DF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B21DF0">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#60: Acute toxicity: oral</w:t>
    </w:r>
    <w:r>
      <w:rPr>
        <w:i/>
      </w:rPr>
      <w:t xml:space="preserve"> (Version [9.2]-[</w:t>
    </w:r>
    <w:r w:rsidR="00B21DF0">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3671F6"/>
    <w:multiLevelType w:val="multilevel"/>
    <w:tmpl w:val="6CB831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64"/>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1DF0"/>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E8773"/>
  <w15:docId w15:val="{526B1935-6274-4BB7-8734-0884DEF9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E6988-2603-41E2-B86C-51F958F7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10986</Words>
  <Characters>60648</Characters>
  <Application>Microsoft Office Word</Application>
  <DocSecurity>0</DocSecurity>
  <Lines>2888</Lines>
  <Paragraphs>477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2021-11-22T16:47:00Z</dcterms:created>
  <dcterms:modified xsi:type="dcterms:W3CDTF">2021-11-22T16:47:00Z</dcterms:modified>
</cp:coreProperties>
</file>