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Acute toxicity: other routes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164C7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214245"/>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214245"/>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acute toxicity: other routes</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From the picklist select the relevant endpoint addressed by this study summary. In some cases there is only one endpoint title, which may be entered automatically depending on the software appl</w:t>
            </w:r>
            <w:r>
              <w:rPr>
                <w:rFonts w:ascii="Arial"/>
                <w:sz w:val="16"/>
              </w:rPr>
              <w:t>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w:t>
            </w:r>
            <w:r>
              <w:rPr>
                <w:rFonts w:ascii="Arial"/>
                <w:sz w:val="16"/>
              </w:rPr>
              <w:t>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w:t>
            </w:r>
            <w:r>
              <w:rPr>
                <w:rFonts w:ascii="Arial"/>
                <w:sz w:val="16"/>
              </w:rPr>
              <w:t>in the adjacent text field, as '(Q)SAR' needs to be indicated in field 'Type of information' and the model should be described in field 'Justification of non-standard information' or 'Attached justification'. A specific endpoint title may be used, if addre</w:t>
            </w:r>
            <w:r>
              <w:rPr>
                <w:rFonts w:ascii="Arial"/>
                <w:sz w:val="16"/>
              </w:rPr>
              <w:t>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w:t>
            </w:r>
            <w:r>
              <w:rPr>
                <w:rFonts w:ascii="Arial"/>
                <w:sz w:val="16"/>
              </w:rPr>
              <w:t xml:space="preserve"> chemical substance which may be specified by the relevant regulatory framework as 'information requirement' (e.g. Boiling point, Sub-chronic toxicity: oral, Fish early-life stage toxicity). In a narrower sense, the term '(eco)toxicity endpoint' refers to </w:t>
            </w:r>
            <w:r>
              <w:rPr>
                <w:rFonts w:ascii="Arial"/>
                <w:sz w:val="16"/>
              </w:rPr>
              <w:t>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w:t>
            </w:r>
            <w:r>
              <w:rPr>
                <w:rFonts w:ascii="Arial"/>
                <w:sz w:val="16"/>
              </w:rPr>
              <w:t xml:space="preserve">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w:t>
            </w:r>
            <w:r>
              <w:rPr>
                <w:rFonts w:ascii="Arial"/>
                <w:sz w:val="16"/>
              </w:rPr>
              <w:t>lect the appropriate type of information, e.g. ' experimental study', ' experimental study planned' or, if alternatives to testing apply, '(Q)SAR', 'read-across ...'. In the case of calculated data, the value 'calculation (if not (Q)SAR)' should only be ch</w:t>
            </w:r>
            <w:r>
              <w:rPr>
                <w:rFonts w:ascii="Arial"/>
                <w:sz w:val="16"/>
              </w:rPr>
              <w:t>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w:t>
            </w:r>
            <w:r>
              <w:rPr>
                <w:rFonts w:ascii="Arial"/>
                <w:sz w:val="16"/>
              </w:rPr>
              <w:t xml:space="preserve">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w:t>
            </w:r>
            <w:r>
              <w:rPr>
                <w:rFonts w:ascii="Arial"/>
                <w:sz w:val="16"/>
              </w:rPr>
              <w:t>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w:t>
            </w:r>
            <w:r>
              <w:rPr>
                <w:rFonts w:ascii="Arial"/>
                <w:sz w:val="16"/>
              </w:rPr>
              <w:t>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w:t>
            </w:r>
            <w:r>
              <w:rPr>
                <w:rFonts w:ascii="Arial"/>
                <w:sz w:val="16"/>
              </w:rPr>
              <w:t xml:space="preserve">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w:t>
            </w:r>
            <w:r>
              <w:rPr>
                <w:rFonts w:ascii="Arial"/>
                <w:sz w:val="16"/>
              </w:rPr>
              <w: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w:t>
            </w:r>
            <w:r>
              <w:rPr>
                <w:rFonts w:ascii="Arial"/>
                <w:sz w:val="16"/>
              </w:rPr>
              <w: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w:t>
            </w:r>
            <w:r>
              <w:rPr>
                <w:rFonts w:ascii="Arial"/>
                <w:sz w:val="16"/>
              </w:rPr>
              <w:t xml:space="preserve"> information</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w:t>
            </w:r>
            <w:r>
              <w:rPr>
                <w:rFonts w:ascii="Arial"/>
                <w:sz w:val="16"/>
              </w:rPr>
              <w:t>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w:t>
            </w:r>
            <w:r>
              <w:rPr>
                <w:rFonts w:ascii="Arial"/>
                <w:sz w:val="16"/>
              </w:rPr>
              <w:t xml:space="preserve">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w:t>
            </w:r>
            <w:r>
              <w:rPr>
                <w:rFonts w:ascii="Arial"/>
                <w:sz w:val="16"/>
              </w:rPr>
              <w:t xml:space="preserve">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w:t>
            </w:r>
            <w:r>
              <w:rPr>
                <w:rFonts w:ascii="Arial"/>
                <w:sz w:val="16"/>
              </w:rPr>
              <w:t xml:space="preserv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w:t>
            </w:r>
            <w:r>
              <w:rPr>
                <w:rFonts w:ascii="Arial"/>
                <w:sz w:val="16"/>
              </w:rPr>
              <w:t>tion. This phrase should be selected for justifying why a potentially critical result has not been used for the hazard assessment. The lines of argumentation should be provided in field 'Rationale for reliability incl. deficiencies', accompanied by the app</w:t>
            </w:r>
            <w:r>
              <w:rPr>
                <w:rFonts w:ascii="Arial"/>
                <w:sz w:val="16"/>
              </w:rPr>
              <w:t>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w:t>
            </w:r>
            <w:r>
              <w:rPr>
                <w:rFonts w:ascii="Arial"/>
                <w:sz w:val="16"/>
              </w:rPr>
              <w:t>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14245" w:rsidRDefault="00164C7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14245" w:rsidRDefault="00164C7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14245" w:rsidRDefault="00164C7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164C72">
            <w:r>
              <w:rPr>
                <w:rFonts w:ascii="Arial"/>
                <w:b/>
                <w:sz w:val="16"/>
              </w:rPr>
              <w:t>Cross-reference:</w:t>
            </w:r>
            <w:r>
              <w:rPr>
                <w:rFonts w:ascii="Arial"/>
                <w:b/>
                <w:sz w:val="16"/>
              </w:rPr>
              <w:br/>
            </w:r>
            <w:r>
              <w:rPr>
                <w:rFonts w:ascii="Arial"/>
                <w:sz w:val="16"/>
              </w:rPr>
              <w:t>AllSummariesAndRecords</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14245" w:rsidRDefault="00164C7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14245" w:rsidRDefault="00164C7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164C72">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164C72">
            <w:r>
              <w:rPr>
                <w:rFonts w:ascii="Arial"/>
                <w:b/>
                <w:sz w:val="16"/>
              </w:rPr>
              <w:t>Guidance for field condition:</w:t>
            </w:r>
            <w:r>
              <w:rPr>
                <w:rFonts w:ascii="Arial"/>
                <w:b/>
                <w:sz w:val="16"/>
              </w:rPr>
              <w:br/>
            </w:r>
            <w:r>
              <w:rPr>
                <w:rFonts w:ascii="Arial"/>
                <w:sz w:val="16"/>
              </w:rPr>
              <w:t>Condition: Field active only if 'Qualifier' is not 'no guideline ...'</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14245" w:rsidRDefault="00164C7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14245" w:rsidRDefault="00164C7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14245" w:rsidRDefault="00164C7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14245" w:rsidRDefault="00164C7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t>Cross-reference:</w:t>
            </w:r>
            <w:r>
              <w:rPr>
                <w:rFonts w:ascii="Arial"/>
                <w:b/>
                <w:sz w:val="16"/>
              </w:rPr>
              <w:br/>
            </w:r>
            <w:r>
              <w:rPr>
                <w:rFonts w:ascii="Arial"/>
                <w:sz w:val="16"/>
              </w:rPr>
              <w:t>TEST_MATERIAL_INFORMATION</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Select additional Test material information record if relevant. For example, in longer terms studies more than one batch o</w:t>
            </w:r>
            <w:r>
              <w:rPr>
                <w:rFonts w:ascii="Arial"/>
                <w:sz w:val="16"/>
              </w:rPr>
              <w:t>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214245" w:rsidRDefault="00164C72">
            <w:r>
              <w:rPr>
                <w:rFonts w:ascii="Arial"/>
                <w:b/>
                <w:sz w:val="16"/>
              </w:rPr>
              <w:t>Cross-reference:</w:t>
            </w:r>
            <w:r>
              <w:rPr>
                <w:rFonts w:ascii="Arial"/>
                <w:b/>
                <w:sz w:val="16"/>
              </w:rPr>
              <w:br/>
            </w:r>
            <w:r>
              <w:rPr>
                <w:rFonts w:ascii="Arial"/>
                <w:sz w:val="16"/>
              </w:rPr>
              <w:t>TEST_MATERIAL_INFORMATION</w:t>
            </w:r>
          </w:p>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 xml:space="preserv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w:t>
            </w:r>
            <w:r>
              <w:rPr>
                <w:rFonts w:ascii="Arial"/>
                <w:sz w:val="16"/>
              </w:rPr>
              <w:t>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14245" w:rsidRDefault="00164C72">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14245" w:rsidRDefault="00164C7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r>
            <w:r>
              <w:rPr>
                <w:rFonts w:ascii="Arial"/>
                <w:sz w:val="16"/>
              </w:rPr>
              <w:lastRenderedPageBreak/>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t>- mouse</w:t>
            </w:r>
            <w:r>
              <w:rPr>
                <w:rFonts w:ascii="Arial"/>
                <w:sz w:val="16"/>
              </w:rPr>
              <w:br/>
              <w:t>- pig</w:t>
            </w:r>
            <w:r>
              <w:rPr>
                <w:rFonts w:ascii="Arial"/>
                <w:sz w:val="16"/>
              </w:rPr>
              <w:br/>
            </w:r>
            <w:r>
              <w:rPr>
                <w:rFonts w:ascii="Arial"/>
                <w:sz w:val="16"/>
              </w:rP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Select name of species. If not available from picklist, select 'other' and specify.</w:t>
            </w:r>
            <w:r>
              <w:rPr>
                <w:rFonts w:ascii="Arial"/>
                <w:sz w:val="16"/>
              </w:rPr>
              <w:br/>
            </w:r>
            <w:r>
              <w:rPr>
                <w:rFonts w:ascii="Arial"/>
                <w:sz w:val="16"/>
              </w:rPr>
              <w:br/>
              <w:t xml:space="preserve">NOTE: Human data should be reported in an appropriate subsection of section 'Exposure </w:t>
            </w:r>
            <w:r>
              <w:rPr>
                <w:rFonts w:ascii="Arial"/>
                <w:sz w:val="16"/>
              </w:rPr>
              <w:lastRenderedPageBreak/>
              <w:t>related observations', particularly subsect</w:t>
            </w:r>
            <w:r>
              <w:rPr>
                <w:rFonts w:ascii="Arial"/>
                <w:sz w:val="16"/>
              </w:rPr>
              <w:t>ion 'Direct observations: clinical cases, poisoning incidents and other'.</w:t>
            </w:r>
            <w:r>
              <w:rPr>
                <w:rFonts w:ascii="Arial"/>
                <w:sz w:val="16"/>
              </w:rPr>
              <w:br/>
            </w:r>
            <w:r>
              <w:rPr>
                <w:rFonts w:ascii="Arial"/>
                <w:sz w:val="16"/>
              </w:rPr>
              <w:br/>
              <w:t>It can be useful to document, in the section on acute toxicity, that human data are provided by creating a record and referring to the human data in field 'Cross-reference'. This co</w:t>
            </w:r>
            <w:r>
              <w:rPr>
                <w:rFonts w:ascii="Arial"/>
                <w:sz w:val="16"/>
              </w:rPr>
              <w:t>uld be relevant if lack of animal experiments is defended by the availability of data on experience with human exposure.</w:t>
            </w:r>
            <w:r>
              <w:rPr>
                <w:rFonts w:ascii="Arial"/>
                <w:sz w:val="16"/>
              </w:rPr>
              <w:br/>
            </w:r>
            <w:r>
              <w:rPr>
                <w:rFonts w:ascii="Arial"/>
                <w:sz w:val="16"/>
              </w:rPr>
              <w:br/>
              <w:t>Consult the programme-specific guidance (e.g. OECD HPVC, Pesticides NAFTA or EU REACH) as to whether human data should be referenced i</w:t>
            </w:r>
            <w:r>
              <w:rPr>
                <w:rFonts w:ascii="Arial"/>
                <w:sz w:val="16"/>
              </w:rPr>
              <w:t>n the appropriate endpoint summary record.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xml:space="preserve">- Belgian Hare - </w:t>
            </w:r>
            <w:r>
              <w:rPr>
                <w:rFonts w:ascii="Arial"/>
                <w:sz w:val="16"/>
              </w:rPr>
              <w:t>[rabbit]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w:t>
            </w:r>
            <w:r>
              <w:rPr>
                <w:rFonts w:ascii="Arial"/>
                <w:sz w:val="16"/>
              </w:rPr>
              <w:t xml:space="preserve">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r>
            <w:r>
              <w:rPr>
                <w:rFonts w:ascii="Arial"/>
                <w:sz w:val="16"/>
              </w:rPr>
              <w:lastRenderedPageBreak/>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xml:space="preserve">- Long-Evans </w:t>
            </w:r>
            <w:r>
              <w:rPr>
                <w:rFonts w:ascii="Arial"/>
                <w:sz w:val="16"/>
              </w:rPr>
              <w:t>-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w:t>
            </w:r>
            <w:r>
              <w:rPr>
                <w:rFonts w:ascii="Arial"/>
                <w:sz w:val="16"/>
              </w:rPr>
              <w:t>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w:t>
            </w:r>
            <w:r>
              <w:rPr>
                <w:rFonts w:ascii="Arial"/>
                <w:sz w:val="16"/>
              </w:rPr>
              <w:t>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Select strain as ap</w:t>
            </w:r>
            <w:r>
              <w:rPr>
                <w:rFonts w:ascii="Arial"/>
                <w:sz w:val="16"/>
              </w:rPr>
              <w:t>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lastRenderedPageBreak/>
              <w:t>Picklist values:</w:t>
            </w:r>
            <w:r>
              <w:rPr>
                <w:rFonts w:ascii="Arial"/>
                <w:sz w:val="16"/>
              </w:rPr>
              <w:br/>
              <w:t>- female</w:t>
            </w:r>
            <w:r>
              <w:rPr>
                <w:rFonts w:ascii="Arial"/>
                <w:sz w:val="16"/>
              </w:rPr>
              <w:br/>
              <w:t>- male</w:t>
            </w:r>
            <w:r>
              <w:rPr>
                <w:rFonts w:ascii="Arial"/>
                <w:sz w:val="16"/>
              </w:rPr>
              <w:br/>
            </w:r>
            <w:r>
              <w:rPr>
                <w:rFonts w:ascii="Arial"/>
                <w:sz w:val="16"/>
              </w:rPr>
              <w:lastRenderedPageBreak/>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 xml:space="preserve">Select as appropriate. If females were used, indicate in field </w:t>
            </w:r>
            <w:r>
              <w:rPr>
                <w:rFonts w:ascii="Arial"/>
                <w:sz w:val="16"/>
              </w:rPr>
              <w:t>“</w:t>
            </w:r>
            <w:r>
              <w:rPr>
                <w:rFonts w:ascii="Arial"/>
                <w:sz w:val="16"/>
              </w:rPr>
              <w:t xml:space="preserve">Details on test </w:t>
            </w:r>
            <w:r>
              <w:rPr>
                <w:rFonts w:ascii="Arial"/>
                <w:sz w:val="16"/>
              </w:rPr>
              <w:t>animals and environmental conditions</w:t>
            </w:r>
            <w:r>
              <w:rPr>
                <w:rFonts w:ascii="Arial"/>
                <w:sz w:val="16"/>
              </w:rPr>
              <w:t>”</w:t>
            </w:r>
            <w:r>
              <w:rPr>
                <w:rFonts w:ascii="Arial"/>
                <w:sz w:val="16"/>
              </w:rPr>
              <w:t xml:space="preserve"> whether nulliparous </w:t>
            </w:r>
            <w:r>
              <w:rPr>
                <w:rFonts w:ascii="Arial"/>
                <w:sz w:val="16"/>
              </w:rPr>
              <w:lastRenderedPageBreak/>
              <w:t>and non-pregnant.</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t>
            </w:r>
            <w:r>
              <w:rPr>
                <w:rFonts w:ascii="Arial"/>
                <w:sz w:val="16"/>
              </w:rPr>
              <w:t xml:space="preserve">Weight at study initiation: </w:t>
            </w:r>
            <w:r>
              <w:rPr>
                <w:rFonts w:ascii="Arial"/>
                <w:sz w:val="16"/>
              </w:rPr>
              <w:br/>
              <w:t xml:space="preserve"> - Fasting period before study: </w:t>
            </w:r>
            <w:r>
              <w:rPr>
                <w:rFonts w:ascii="Arial"/>
                <w:sz w:val="16"/>
              </w:rPr>
              <w:br/>
              <w:t xml:space="preserve"> - Housing:</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w:t>
            </w:r>
            <w:r>
              <w:rPr>
                <w:rFonts w:ascii="Arial"/>
                <w:sz w:val="16"/>
              </w:rPr>
              <w:t xml:space="preserve">eriod (hrs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Use freetext template and delete/add elements as appropriate. Enter any details that could be relevant for evaluating this study summary or that are requested by the respective regulatory </w:t>
            </w:r>
            <w:r>
              <w:rPr>
                <w:rFonts w:ascii="Arial"/>
                <w:sz w:val="16"/>
              </w:rPr>
              <w:t>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w:t>
            </w:r>
            <w:r>
              <w:rPr>
                <w:rFonts w:ascii="Arial"/>
                <w:sz w:val="16"/>
              </w:rPr>
              <w:t xml:space="preserve">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14245" w:rsidRDefault="00164C72">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14245" w:rsidRDefault="00164C7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infusion</w:t>
            </w:r>
            <w:r>
              <w:rPr>
                <w:rFonts w:ascii="Arial"/>
                <w:sz w:val="16"/>
              </w:rPr>
              <w:br/>
              <w:t>- intramuscular</w:t>
            </w:r>
            <w:r>
              <w:rPr>
                <w:rFonts w:ascii="Arial"/>
                <w:sz w:val="16"/>
              </w:rPr>
              <w:br/>
              <w:t>- intraperitoneal</w:t>
            </w:r>
            <w:r>
              <w:rPr>
                <w:rFonts w:ascii="Arial"/>
                <w:sz w:val="16"/>
              </w:rPr>
              <w:br/>
              <w:t>- intravenous</w:t>
            </w:r>
            <w:r>
              <w:rPr>
                <w:rFonts w:ascii="Arial"/>
                <w:sz w:val="16"/>
              </w:rPr>
              <w:br/>
              <w:t>- subcutaneous</w:t>
            </w:r>
            <w:r>
              <w:rPr>
                <w:rFonts w:ascii="Arial"/>
                <w:sz w:val="16"/>
              </w:rPr>
              <w:br/>
              <w:t>- unspecified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w:t>
            </w:r>
            <w:r>
              <w:rPr>
                <w:rFonts w:ascii="Arial"/>
                <w:sz w:val="16"/>
              </w:rPr>
              <w:t xml:space="preserve">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w:t>
            </w:r>
            <w:r>
              <w:rPr>
                <w:rFonts w:ascii="Arial"/>
                <w:sz w:val="16"/>
              </w:rPr>
              <w:t xml:space="preserv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Select 'unchanged (no vehicle)' if none was used or select vehicle used if any. If not available from picklist, select 'other' and specify. Further infor</w:t>
            </w:r>
            <w:r>
              <w:rPr>
                <w:rFonts w:ascii="Arial"/>
                <w:sz w:val="16"/>
              </w:rPr>
              <w:t>mation can be given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Briefly describe details of </w:t>
            </w:r>
            <w:r>
              <w:rPr>
                <w:rFonts w:ascii="Arial"/>
                <w:sz w:val="16"/>
              </w:rPr>
              <w:t>exposure.</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Doses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Include the doses including unit administered to the test animals, '5, 50, 500 and 2000 mg/kg bw'. As appropriate include notes in parentheses, e.g. '(male)'.</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Text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Enter value or specify according to dose if different number of animals per dose, e.g. '10 (controls), 5 (in dose groups)'.</w:t>
            </w:r>
            <w:r>
              <w:rPr>
                <w:rFonts w:ascii="Arial"/>
                <w:sz w:val="16"/>
              </w:rPr>
              <w:br/>
            </w:r>
            <w:r>
              <w:rPr>
                <w:rFonts w:ascii="Arial"/>
                <w:sz w:val="16"/>
              </w:rPr>
              <w:br/>
              <w:t>For robust study summaries or as requested by the regulatory programme, also include a detailed tabl</w:t>
            </w:r>
            <w:r>
              <w:rPr>
                <w:rFonts w:ascii="Arial"/>
                <w:sz w:val="16"/>
              </w:rPr>
              <w:t>e on the animal assignment in the rich text field 'Any other information on results incl. tables'. Upload predefined table(s) if any or adapt table(s) from study report. Use table numbers in the sequence in which you refer to them in the Remarks text (e.g.</w:t>
            </w:r>
            <w:r>
              <w:rPr>
                <w:rFonts w:ascii="Arial"/>
                <w:sz w:val="16"/>
              </w:rPr>
              <w:t xml:space="preserve">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Picklist values:</w:t>
            </w:r>
            <w:r>
              <w:rPr>
                <w:rFonts w:ascii="Arial"/>
                <w:sz w:val="16"/>
              </w:rPr>
              <w:br/>
              <w:t>- yes</w:t>
            </w:r>
            <w:r>
              <w:rPr>
                <w:rFonts w:ascii="Arial"/>
                <w:sz w:val="16"/>
              </w:rPr>
              <w:br/>
              <w:t>- no</w:t>
            </w:r>
            <w:r>
              <w:rPr>
                <w:rFonts w:ascii="Arial"/>
                <w:sz w:val="16"/>
              </w:rPr>
              <w:br/>
              <w:t xml:space="preserve">- </w:t>
            </w:r>
            <w:r>
              <w:rPr>
                <w:rFonts w:ascii="Arial"/>
                <w:sz w:val="16"/>
              </w:rPr>
              <w:t>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Indicate whether concurrent control group was used.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t>Freetext template:</w:t>
            </w:r>
            <w:r>
              <w:rPr>
                <w:rFonts w:ascii="Arial"/>
                <w:sz w:val="16"/>
              </w:rPr>
              <w:br/>
              <w:t>- Duration of observation period following administration: 14 days (or other?)</w:t>
            </w:r>
            <w:r>
              <w:rPr>
                <w:rFonts w:ascii="Arial"/>
                <w:sz w:val="16"/>
              </w:rPr>
              <w:br/>
              <w:t>- Frequency of observat</w:t>
            </w:r>
            <w:r>
              <w:rPr>
                <w:rFonts w:ascii="Arial"/>
                <w:sz w:val="16"/>
              </w:rPr>
              <w:t>ions and weighing:</w:t>
            </w:r>
            <w:r>
              <w:rPr>
                <w:rFonts w:ascii="Arial"/>
                <w:sz w:val="16"/>
              </w:rPr>
              <w:br/>
              <w:t>- Necropsy of survivors performed: yes/no</w:t>
            </w:r>
            <w:r>
              <w:rPr>
                <w:rFonts w:ascii="Arial"/>
                <w:sz w:val="16"/>
              </w:rPr>
              <w:br/>
              <w:t>- Clinical signs including body weight</w:t>
            </w:r>
            <w:r>
              <w:rPr>
                <w:rFonts w:ascii="Arial"/>
                <w:sz w:val="16"/>
              </w:rPr>
              <w:br/>
              <w:t>- Other examinations performed: clinical signs, body weight,organ weights, histopathology, other:</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Include any further details on the study design, i.e. </w:t>
            </w:r>
            <w:r>
              <w:rPr>
                <w:rFonts w:ascii="Arial"/>
                <w:sz w:val="16"/>
              </w:rPr>
              <w:t>observation period, frequency of observations/weighing, necropsy of survivors and other examinations performed.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Indicate the method of calcul</w:t>
            </w:r>
            <w:r>
              <w:rPr>
                <w:rFonts w:ascii="Arial"/>
                <w:sz w:val="16"/>
              </w:rPr>
              <w:t>ating the LD50 or other.</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14245" w:rsidRDefault="00164C72">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14245" w:rsidRDefault="00164C7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214245"/>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 this field, you can enter any information on materials and methods, for which no distinct field is available, </w:t>
            </w:r>
            <w:r>
              <w:rPr>
                <w:rFonts w:ascii="Arial"/>
                <w:sz w:val="16"/>
              </w:rPr>
              <w:t xml:space="preserve">or transfer free text from other databases. You can also open a rich text editor and create formatted text and tables or insert and edit any excerpt from a word processing or spreadsheet document, provided it was converted to the HTML format. You can also </w:t>
            </w:r>
            <w:r>
              <w:rPr>
                <w:rFonts w:ascii="Arial"/>
                <w:sz w:val="16"/>
              </w:rPr>
              <w:t>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 xml:space="preserve">Header </w:t>
            </w:r>
            <w:r>
              <w:rPr>
                <w:rFonts w:ascii="Arial"/>
                <w:b/>
                <w:sz w:val="16"/>
              </w:rPr>
              <w:t>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14245" w:rsidRDefault="00164C72">
            <w:r>
              <w:rPr>
                <w:rFonts w:ascii="Arial"/>
                <w:b/>
                <w:sz w:val="16"/>
              </w:rPr>
              <w:t>Effect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 xml:space="preserve">Provide the LD50 with confidence limits if available and/or other effect levels reported. Copy this field block for each effect level. If both sexes were tested at each dose level, then the combined </w:t>
            </w:r>
            <w:r>
              <w:rPr>
                <w:rFonts w:ascii="Arial"/>
                <w:sz w:val="16"/>
              </w:rPr>
              <w:t>effect level should be stated.</w:t>
            </w:r>
            <w:r>
              <w:rPr>
                <w:rFonts w:ascii="Arial"/>
                <w:sz w:val="16"/>
              </w:rPr>
              <w:br/>
            </w:r>
            <w:r>
              <w:rPr>
                <w:rFonts w:ascii="Arial"/>
                <w:sz w:val="16"/>
              </w:rPr>
              <w:br/>
              <w:t>If no LD50 or other endpoint available from picklist is reported, but only a dose level, specify this dose using 'other' and indicate the effects observed in subfield 'Remarks on result'.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Check box</w:t>
            </w:r>
            <w:r>
              <w:rPr>
                <w:rFonts w:ascii="Arial"/>
                <w:sz w:val="16"/>
              </w:rPr>
              <w:br/>
            </w:r>
            <w:r>
              <w:rPr>
                <w:rFonts w:ascii="Arial"/>
                <w:sz w:val="16"/>
              </w:rPr>
              <w:br/>
              <w:t>Display: Ba</w:t>
            </w:r>
            <w:r>
              <w:rPr>
                <w:rFonts w:ascii="Arial"/>
                <w:sz w:val="16"/>
              </w:rPr>
              <w:t>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 xml:space="preserve">Set this flag for identifying the key information which is of potential relevance for hazard/risk assessment or classification purpose. Consult any programme-specific guidance (e.g. OECD Programme, Pesticides NAFTA or EU REACH) on how to use this </w:t>
            </w:r>
            <w:r>
              <w:rPr>
                <w:rFonts w:ascii="Arial"/>
                <w:sz w:val="16"/>
              </w:rPr>
              <w:t>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EC0</w:t>
            </w:r>
            <w:r>
              <w:rPr>
                <w:rFonts w:ascii="Arial"/>
                <w:sz w:val="16"/>
              </w:rPr>
              <w:br/>
              <w:t>- EC50</w:t>
            </w:r>
            <w:r>
              <w:rPr>
                <w:rFonts w:ascii="Arial"/>
                <w:sz w:val="16"/>
              </w:rPr>
              <w:br/>
              <w:t>- EC100</w:t>
            </w:r>
            <w:r>
              <w:rPr>
                <w:rFonts w:ascii="Arial"/>
                <w:sz w:val="16"/>
              </w:rPr>
              <w:br/>
              <w:t>- LC0</w:t>
            </w:r>
            <w:r>
              <w:rPr>
                <w:rFonts w:ascii="Arial"/>
                <w:sz w:val="16"/>
              </w:rPr>
              <w:br/>
              <w:t>- LC50</w:t>
            </w:r>
            <w:r>
              <w:rPr>
                <w:rFonts w:ascii="Arial"/>
                <w:sz w:val="16"/>
              </w:rPr>
              <w:br/>
              <w:t>- LC100</w:t>
            </w:r>
            <w:r>
              <w:rPr>
                <w:rFonts w:ascii="Arial"/>
                <w:sz w:val="16"/>
              </w:rPr>
              <w:br/>
              <w:t>- LCLo</w:t>
            </w:r>
            <w:r>
              <w:rPr>
                <w:rFonts w:ascii="Arial"/>
                <w:sz w:val="16"/>
              </w:rPr>
              <w:br/>
              <w:t>- LD0</w:t>
            </w:r>
            <w:r>
              <w:rPr>
                <w:rFonts w:ascii="Arial"/>
                <w:sz w:val="16"/>
              </w:rPr>
              <w:br/>
              <w:t>- LD50</w:t>
            </w:r>
            <w:r>
              <w:rPr>
                <w:rFonts w:ascii="Arial"/>
                <w:sz w:val="16"/>
              </w:rPr>
              <w:br/>
              <w:t>- LD100</w:t>
            </w:r>
            <w:r>
              <w:rPr>
                <w:rFonts w:ascii="Arial"/>
                <w:sz w:val="16"/>
              </w:rPr>
              <w:br/>
              <w:t>- LDLo</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Select the relevant dose descriptor from drop-down list, i.e. the exposure level that corresponds to a quantified level of effects.</w:t>
            </w:r>
            <w:r>
              <w:rPr>
                <w:rFonts w:ascii="Arial"/>
                <w:sz w:val="16"/>
              </w:rPr>
              <w:br/>
            </w:r>
            <w:r>
              <w:rPr>
                <w:rFonts w:ascii="Arial"/>
                <w:sz w:val="16"/>
              </w:rPr>
              <w:br/>
              <w:t>Where no value could be achieved based on the method and boundaries us</w:t>
            </w:r>
            <w:r>
              <w:rPr>
                <w:rFonts w:ascii="Arial"/>
                <w:sz w:val="16"/>
              </w:rPr>
              <w:t>ed, the upper or lower dose level for the relevant dose descriptor can be reported as appropriate with relevant qualifier, e.g. LD50 &gt;10 mg/kg bw or LD50 &lt;10 mg/kg bw. An additional explanation may be given in field 'Remarks on result', e.g. 'not determina</w:t>
            </w:r>
            <w:r>
              <w:rPr>
                <w:rFonts w:ascii="Arial"/>
                <w:sz w:val="16"/>
              </w:rPr>
              <w:t>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w:t>
            </w:r>
            <w:r>
              <w:rPr>
                <w:rFonts w:ascii="Arial"/>
                <w:sz w:val="16"/>
              </w:rPr>
              <w:br/>
              <w:t>- mg/L</w:t>
            </w:r>
            <w:r>
              <w:rPr>
                <w:rFonts w:ascii="Arial"/>
                <w:sz w:val="16"/>
              </w:rPr>
              <w:br/>
              <w:t>- mL/kg bw</w:t>
            </w:r>
            <w:r>
              <w:rPr>
                <w:rFonts w:ascii="Arial"/>
                <w:sz w:val="16"/>
              </w:rPr>
              <w:br/>
              <w:t>- ppm</w:t>
            </w:r>
            <w:r>
              <w:rPr>
                <w:rFonts w:ascii="Arial"/>
                <w:sz w:val="16"/>
              </w:rPr>
              <w:br/>
            </w:r>
            <w:r>
              <w:rPr>
                <w:rFonts w:ascii="Arial"/>
                <w:sz w:val="16"/>
              </w:rPr>
              <w:lastRenderedPageBreak/>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qualifier(s) if</w:t>
            </w:r>
            <w:r>
              <w:rPr>
                <w:rFonts w:ascii="Arial"/>
                <w:sz w:val="16"/>
              </w:rPr>
              <w:t xml:space="preserve">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xml:space="preserve">- </w:t>
            </w:r>
            <w:r>
              <w:rPr>
                <w:rFonts w:ascii="Arial"/>
                <w:sz w:val="16"/>
              </w:rPr>
              <w:t>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Indicate whether the concentration is based on the test material (test mat.), active ingredient (act. ingr.) or element. As appropriate the measured / addressed fraction can b</w:t>
            </w:r>
            <w:r>
              <w:rPr>
                <w:rFonts w:ascii="Arial"/>
                <w:sz w:val="16"/>
              </w:rPr>
              <w:t>e specified for either of these entities by selecting the relevant item, e.g. 'element (dissolved fraction)' or 'test mat. (total fraction)'. Further information can be given in the supplementary remarks field, e.g. for specifying the type of fraction if i</w:t>
            </w:r>
            <w:r>
              <w:rPr>
                <w:rFonts w:ascii="Arial"/>
                <w:sz w:val="16"/>
              </w:rPr>
              <w:t>t is not clear per se from the test material specification. 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95% CL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 xml:space="preserve">For robust study summaries or as requested by the regulatory programme, provide the 95% confidence limits if available. Enter a single numeric value in the first numeric field if you select no qualifier or '&gt;', '&gt;=' or 'ca.'. Use the second numeric </w:t>
            </w:r>
            <w:r>
              <w:rPr>
                <w:rFonts w:ascii="Arial"/>
                <w:sz w:val="16"/>
              </w:rPr>
              <w:t>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14245" w:rsidRDefault="00164C7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Picklist values:</w:t>
            </w:r>
            <w:r>
              <w:rPr>
                <w:rFonts w:ascii="Arial"/>
                <w:sz w:val="16"/>
              </w:rPr>
              <w:br/>
              <w:t xml:space="preserve">- not determinable </w:t>
            </w:r>
            <w:r>
              <w:rPr>
                <w:rFonts w:ascii="Arial"/>
                <w:sz w:val="16"/>
              </w:rPr>
              <w:t>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This field can be used for:</w:t>
            </w:r>
            <w:r>
              <w:rPr>
                <w:rFonts w:ascii="Arial"/>
                <w:sz w:val="16"/>
              </w:rPr>
              <w:br/>
            </w:r>
            <w:r>
              <w:rPr>
                <w:rFonts w:ascii="Arial"/>
                <w:sz w:val="16"/>
              </w:rPr>
              <w:br/>
              <w:t>- giving a qualitative description of results in addition to or if no numeric va</w:t>
            </w:r>
            <w:r>
              <w:rPr>
                <w:rFonts w:ascii="Arial"/>
                <w:sz w:val="16"/>
              </w:rPr>
              <w:t>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additional information on the effect level </w:t>
            </w:r>
            <w:r>
              <w:rPr>
                <w:rFonts w:ascii="Arial"/>
                <w:sz w:val="16"/>
              </w:rPr>
              <w:t>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Include raw data on mortality and evident toxicity for each sex and approximate time of deaths. As appropriate include a detailed </w:t>
            </w:r>
            <w:r>
              <w:rPr>
                <w:rFonts w:ascii="Arial"/>
                <w:sz w:val="16"/>
              </w:rPr>
              <w:t>table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Briefly describe significant effects found, including the numbe</w:t>
            </w:r>
            <w:r>
              <w:rPr>
                <w:rFonts w:ascii="Arial"/>
                <w:sz w:val="16"/>
              </w:rPr>
              <w:t>rs of animals showing signs, time of onset, duration of the major clinical signs and time when most animals recovered. Do not dwell on effects that are most likely due to agonal death. Focus on any important findings, i.e. compound-related or suspected rel</w:t>
            </w:r>
            <w:r>
              <w:rPr>
                <w:rFonts w:ascii="Arial"/>
                <w:sz w:val="16"/>
              </w:rPr>
              <w:t>ated effects. In case particular effects are considered control-related e.g. because of abnormal control values, this should be specifically addressed.</w:t>
            </w:r>
            <w:r>
              <w:rPr>
                <w:rFonts w:ascii="Arial"/>
                <w:sz w:val="16"/>
              </w:rPr>
              <w:br/>
            </w:r>
            <w:r>
              <w:rPr>
                <w:rFonts w:ascii="Arial"/>
                <w:sz w:val="16"/>
              </w:rPr>
              <w:br/>
              <w:t>Note if there was a NOAEL for clinical findings.</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Body weight</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Briefly describe whether animals gained or lost weight.</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Gross pathology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Briefly describe whether there were any treatment related effects. Do not stress effects due to agonal death.</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Other findings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214245" w:rsidRDefault="00164C72">
            <w:r>
              <w:rPr>
                <w:rFonts w:ascii="Arial"/>
                <w:b/>
                <w:sz w:val="16"/>
              </w:rPr>
              <w:lastRenderedPageBreak/>
              <w:t>Freetext template:</w:t>
            </w:r>
            <w:r>
              <w:rPr>
                <w:rFonts w:ascii="Arial"/>
                <w:sz w:val="16"/>
              </w:rPr>
              <w:br/>
              <w:t xml:space="preserve">- Organ weights: </w:t>
            </w:r>
            <w:r>
              <w:rPr>
                <w:rFonts w:ascii="Arial"/>
                <w:sz w:val="16"/>
              </w:rPr>
              <w:br/>
              <w:t xml:space="preserve"> - Histopathology: </w:t>
            </w:r>
            <w:r>
              <w:rPr>
                <w:rFonts w:ascii="Arial"/>
                <w:sz w:val="16"/>
              </w:rPr>
              <w:br/>
            </w:r>
            <w:r>
              <w:rPr>
                <w:rFonts w:ascii="Arial"/>
                <w:sz w:val="16"/>
              </w:rPr>
              <w:lastRenderedPageBreak/>
              <w:t xml:space="preserve"> - Potential target organs: </w:t>
            </w:r>
            <w:r>
              <w:rPr>
                <w:rFonts w:ascii="Arial"/>
                <w:sz w:val="16"/>
              </w:rPr>
              <w:br/>
              <w:t xml:space="preserve"> - Other observations:</w:t>
            </w:r>
          </w:p>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lastRenderedPageBreak/>
              <w:t xml:space="preserve">Include any further results using freetext template as appropriate. If applicable, briefly describe whether there were any </w:t>
            </w:r>
            <w:r>
              <w:rPr>
                <w:rFonts w:ascii="Arial"/>
                <w:sz w:val="16"/>
              </w:rPr>
              <w:t xml:space="preserve">treatment </w:t>
            </w:r>
            <w:r>
              <w:rPr>
                <w:rFonts w:ascii="Arial"/>
                <w:sz w:val="16"/>
              </w:rPr>
              <w:lastRenderedPageBreak/>
              <w:t>related differences in organ weights or histopathology and state if potential target organs were identified.</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14245" w:rsidRDefault="00164C7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14245" w:rsidRDefault="00164C7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214245"/>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In this field, you can enter any </w:t>
            </w:r>
            <w:r>
              <w:rPr>
                <w:rFonts w:ascii="Arial"/>
                <w:sz w:val="16"/>
              </w:rPr>
              <w:t>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document, pro</w:t>
            </w:r>
            <w:r>
              <w:rPr>
                <w:rFonts w:ascii="Arial"/>
                <w:sz w:val="16"/>
              </w:rPr>
              <w:t>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w:t>
            </w:r>
            <w:r>
              <w:rPr>
                <w:rFonts w:ascii="Arial"/>
                <w:sz w:val="16"/>
              </w:rPr>
              <w:t>allow rich text entry.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14245" w:rsidRDefault="00164C7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w:t>
            </w:r>
            <w:r>
              <w:rPr>
                <w:rFonts w:ascii="Arial"/>
                <w:sz w:val="16"/>
              </w:rPr>
              <w:t xml:space="preserve">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14245" w:rsidRDefault="00164C7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14245" w:rsidRDefault="0021424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14245" w:rsidRDefault="00164C72">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14245" w:rsidRDefault="0021424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14245" w:rsidRDefault="00164C7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14245" w:rsidRDefault="00164C7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14245" w:rsidRDefault="0021424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14245" w:rsidRDefault="00164C7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14245" w:rsidRDefault="00164C7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14245" w:rsidRDefault="0021424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r w:rsidR="0021424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14245" w:rsidRDefault="0021424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14245" w:rsidRDefault="00164C7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14245" w:rsidRDefault="00214245"/>
        </w:tc>
        <w:tc>
          <w:tcPr>
            <w:tcW w:w="3709" w:type="dxa"/>
            <w:tcBorders>
              <w:top w:val="outset" w:sz="6" w:space="0" w:color="auto"/>
              <w:left w:val="outset" w:sz="6" w:space="0" w:color="auto"/>
              <w:bottom w:val="outset" w:sz="6" w:space="0" w:color="FFFFFF"/>
              <w:right w:val="outset" w:sz="6" w:space="0" w:color="auto"/>
            </w:tcBorders>
          </w:tcPr>
          <w:p w:rsidR="00214245" w:rsidRDefault="00164C72">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214245" w:rsidRDefault="0021424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64C7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64C72">
          <w:rPr>
            <w:rFonts w:ascii="Times New Roman" w:hAnsi="Times New Roman" w:cs="Times New Roman"/>
            <w:noProof/>
            <w:snapToGrid w:val="0"/>
            <w:lang w:eastAsia="fi-FI"/>
          </w:rPr>
          <w:t>38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#63: Acute toxicity: other routes</w:t>
    </w:r>
    <w:r>
      <w:rPr>
        <w:i/>
      </w:rPr>
      <w:t xml:space="preserve"> (Version [8.1]-[</w:t>
    </w:r>
    <w:r w:rsidR="00164C72">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44565A"/>
    <w:multiLevelType w:val="multilevel"/>
    <w:tmpl w:val="135632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4C72"/>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4245"/>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BDC5AC"/>
  <w15:docId w15:val="{783C3E46-516E-488D-9A84-01C354E3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236F7-8989-4518-A4AE-BA004949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10161</Words>
  <Characters>56295</Characters>
  <Application>Microsoft Office Word</Application>
  <DocSecurity>0</DocSecurity>
  <Lines>2680</Lines>
  <Paragraphs>455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2021-11-22T16:51:00Z</dcterms:created>
  <dcterms:modified xsi:type="dcterms:W3CDTF">2021-11-22T16:51:00Z</dcterms:modified>
</cp:coreProperties>
</file>