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tcplfit2-vignette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(tcplfit2)</w:t>
      </w:r>
    </w:p>
    <w:p>
      <w:pPr>
        <w:pStyle w:val="Heading1"/>
      </w:pPr>
      <w:bookmarkStart w:id="21" w:name="getting-started-with-tcplfit2"/>
      <w:bookmarkEnd w:id="21"/>
      <w:r>
        <w:t xml:space="preserve">Getting started with tcplfit2</w:t>
      </w:r>
    </w:p>
    <w:p>
      <w:pPr>
        <w:pStyle w:val="FirstParagraph"/>
      </w:pPr>
      <w:r>
        <w:t xml:space="preserve">The package tcplfit2 contains the core concentration-response functionality of the package tcpl</w:t>
      </w:r>
      <w:r>
        <w:t xml:space="preserve"> </w:t>
      </w:r>
      <w:r>
        <w:t xml:space="preserve">(The ToxCast Pipeline) built to process all of the ToxCast high-throughput screen (HTS) data at</w:t>
      </w:r>
      <w:r>
        <w:t xml:space="preserve"> </w:t>
      </w:r>
      <w:r>
        <w:t xml:space="preserve">the US EPA. Much of the rest of the code in tcpl is used to do data processing, normalization,</w:t>
      </w:r>
      <w:r>
        <w:t xml:space="preserve"> </w:t>
      </w:r>
      <w:r>
        <w:t xml:space="preserve">and database storage. We wanted to reuse the core concentration-response code for other projects,</w:t>
      </w:r>
      <w:r>
        <w:t xml:space="preserve"> </w:t>
      </w:r>
      <w:r>
        <w:t xml:space="preserve">and add extensions to it, which was the origin of the current package</w:t>
      </w:r>
      <w:r>
        <w:t xml:space="preserve"> </w:t>
      </w:r>
      <w:r>
        <w:rPr>
          <w:i/>
        </w:rPr>
        <w:t xml:space="preserve">tcplfit2</w:t>
      </w:r>
      <w:r>
        <w:t xml:space="preserve">. The main set of extensions</w:t>
      </w:r>
      <w:r>
        <w:t xml:space="preserve"> </w:t>
      </w:r>
      <w:r>
        <w:t xml:space="preserve">was to include all of the concentration-response models that are contained in the program BMDExpress.</w:t>
      </w:r>
      <w:r>
        <w:t xml:space="preserve"> </w:t>
      </w:r>
      <w:r>
        <w:t xml:space="preserve">These include exposnentail and power functions in addition to the original Hill, gain-loss and constant models.</w:t>
      </w:r>
      <w:r>
        <w:t xml:space="preserve"> </w:t>
      </w:r>
      <w:r>
        <w:t xml:space="preserve">Additionall, we wanted to include BMD (Benchmark Dose Modeling) outputs, which is simply defining a</w:t>
      </w:r>
      <w:r>
        <w:t xml:space="preserve"> </w:t>
      </w:r>
      <w:r>
        <w:t xml:space="preserve">Benchmark Response (BMR) level and setting the BMD to the concentration where the curve crosses the BMR lavel.</w:t>
      </w:r>
      <w:r>
        <w:t xml:space="preserve"> </w:t>
      </w:r>
      <w:r>
        <w:t xml:space="preserve">One final addition was to let the hitcall value be a continuous number ranging from 0 to 1. This vignette describes</w:t>
      </w:r>
      <w:r>
        <w:t xml:space="preserve"> </w:t>
      </w:r>
      <w:r>
        <w:t xml:space="preserve">the basic functionality of this package with two simple examples.</w:t>
      </w:r>
    </w:p>
    <w:p>
      <w:pPr>
        <w:pStyle w:val="Heading2"/>
      </w:pPr>
      <w:bookmarkStart w:id="22" w:name="example-1---running-a-single-concentration-response-calculation"/>
      <w:bookmarkEnd w:id="22"/>
      <w:r>
        <w:t xml:space="preserve">Example 1 - Running a single concentration-response calculation</w:t>
      </w:r>
    </w:p>
    <w:p>
      <w:pPr>
        <w:pStyle w:val="FirstParagraph"/>
      </w:pPr>
      <w:r>
        <w:t xml:space="preserve">All calculations use the function</w:t>
      </w:r>
      <w:r>
        <w:t xml:space="preserve"> </w:t>
      </w:r>
      <w:r>
        <w:rPr>
          <w:rStyle w:val="VerbatimChar"/>
        </w:rPr>
        <w:t xml:space="preserve">concRespCore</w:t>
      </w:r>
      <w:r>
        <w:t xml:space="preserve"> </w:t>
      </w:r>
      <w:r>
        <w:t xml:space="preserve">which has several key inputs. The first set are</w:t>
      </w:r>
      <w:r>
        <w:t xml:space="preserve"> </w:t>
      </w:r>
      <w:r>
        <w:t xml:space="preserve">put into a named list called</w:t>
      </w:r>
      <w:r>
        <w:t xml:space="preserve"> </w:t>
      </w:r>
      <w:r>
        <w:t xml:space="preserve">‘</w:t>
      </w:r>
      <w:r>
        <w:t xml:space="preserve">row</w:t>
      </w:r>
      <w:r>
        <w:t xml:space="preserve">’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conc</w:t>
      </w:r>
      <w:r>
        <w:t xml:space="preserve"> </w:t>
      </w:r>
      <w:r>
        <w:t xml:space="preserve">- a vector of concentrations (not log concentrations)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resp</w:t>
      </w:r>
      <w:r>
        <w:t xml:space="preserve"> </w:t>
      </w:r>
      <w:r>
        <w:t xml:space="preserve">- a vector of responses, of the same length as</w:t>
      </w:r>
      <w:r>
        <w:t xml:space="preserve"> </w:t>
      </w:r>
      <w:r>
        <w:rPr>
          <w:rStyle w:val="VerbatimChar"/>
        </w:rPr>
        <w:t xml:space="preserve">conc</w:t>
      </w:r>
      <w:r>
        <w:t xml:space="preserve">. Note that replicates are allowed, i.e. there can be multiple pairs of conc and resp with the same concentration value.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cutoff</w:t>
      </w:r>
      <w:r>
        <w:t xml:space="preserve">- this is the value that the response must exceed before a a curve can be called a hit. For ToxCast, this is usually some multiple (typically 3) of the medain absolute deviation (BMAD) around baseline for the lowest two concentration. The user is free to make other choices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bmed</w:t>
      </w:r>
      <w:r>
        <w:t xml:space="preserve"> </w:t>
      </w:r>
      <w:r>
        <w:t xml:space="preserve">- this is the median of the baseline, and will usually be set to zero. If not, the entire response series will be shifted by this amount.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onesd</w:t>
      </w:r>
      <w:r>
        <w:t xml:space="preserve">- This is one standard deviation of the nose around the baseline. The BMR value =</w:t>
      </w:r>
      <w:r>
        <w:t xml:space="preserve"> </w:t>
      </w:r>
      <w:r>
        <w:rPr>
          <w:rStyle w:val="VerbatimChar"/>
        </w:rPr>
        <w:t xml:space="preserve">onesd</w:t>
      </w:r>
      <w:r>
        <w:t xml:space="preserve">*1.349.</w:t>
      </w:r>
    </w:p>
    <w:p>
      <w:pPr>
        <w:pStyle w:val="FirstParagraph"/>
      </w:pPr>
      <w:r>
        <w:t xml:space="preserve">The list</w:t>
      </w:r>
      <w:r>
        <w:t xml:space="preserve"> </w:t>
      </w:r>
      <w:r>
        <w:rPr>
          <w:rStyle w:val="VerbatimChar"/>
        </w:rPr>
        <w:t xml:space="preserve">row</w:t>
      </w:r>
      <w:r>
        <w:t xml:space="preserve"> </w:t>
      </w:r>
      <w:r>
        <w:t xml:space="preserve">can also have other optional elements which will be included in the output. These can be,</w:t>
      </w:r>
      <w:r>
        <w:t xml:space="preserve"> </w:t>
      </w:r>
      <w:r>
        <w:t xml:space="preserve">for instance, the name of the chemical (or other identifiers) or the name of the assay being modeled. Two other</w:t>
      </w:r>
      <w:r>
        <w:t xml:space="preserve"> </w:t>
      </w:r>
      <w:r>
        <w:t xml:space="preserve">parameters might be used. The first is a boolean</w:t>
      </w:r>
      <w:r>
        <w:t xml:space="preserve"> </w:t>
      </w:r>
      <w:r>
        <w:rPr>
          <w:rStyle w:val="VerbatimChar"/>
        </w:rPr>
        <w:t xml:space="preserve">conthits</w:t>
      </w:r>
      <w:r>
        <w:t xml:space="preserve">. If TRUE (the default, and recommended usage), the hitcall</w:t>
      </w:r>
      <w:r>
        <w:t xml:space="preserve"> </w:t>
      </w:r>
      <w:r>
        <w:t xml:space="preserve">returned will be a continuous value between 0 and 1. The other is</w:t>
      </w:r>
      <w:r>
        <w:t xml:space="preserve"> </w:t>
      </w:r>
      <w:r>
        <w:rPr>
          <w:rStyle w:val="VerbatimChar"/>
        </w:rPr>
        <w:t xml:space="preserve">do.plot</w:t>
      </w:r>
      <w:r>
        <w:t xml:space="preserve">. If this is set to TRUE (default is FALSE),</w:t>
      </w:r>
      <w:r>
        <w:t xml:space="preserve"> </w:t>
      </w:r>
      <w:r>
        <w:t xml:space="preserve">a plot of the curve will be generated. The user can also select only a subset of the models to be run. The example below has all of the possible ones</w:t>
      </w:r>
      <w:r>
        <w:t xml:space="preserve"> </w:t>
      </w:r>
      <w:r>
        <w:t xml:space="preserve">included. the model</w:t>
      </w:r>
      <w:r>
        <w:t xml:space="preserve"> </w:t>
      </w:r>
      <w:r>
        <w:rPr>
          <w:rStyle w:val="VerbatimChar"/>
        </w:rPr>
        <w:t xml:space="preserve">cnst</w:t>
      </w:r>
      <w:r>
        <w:t xml:space="preserve"> </w:t>
      </w:r>
      <w:r>
        <w:t xml:space="preserve">alwasy needs to be included. For some applications, we exclude the</w:t>
      </w:r>
      <w:r>
        <w:t xml:space="preserve"> </w:t>
      </w:r>
      <w:r>
        <w:rPr>
          <w:rStyle w:val="VerbatimChar"/>
        </w:rPr>
        <w:t xml:space="preserve">gnls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To run a simple example, use the following code …</w:t>
      </w:r>
    </w:p>
    <w:p>
      <w:pPr>
        <w:pStyle w:val="SourceCode"/>
      </w:pPr>
      <w:r>
        <w:rPr>
          <w:rStyle w:val="NormalTok"/>
        </w:rPr>
        <w:t xml:space="preserve">  conc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conc,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bmed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onesd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concRespCore</w:t>
      </w:r>
      <w:r>
        <w:rPr>
          <w:rStyle w:val="NormalTok"/>
        </w:rPr>
        <w:t xml:space="preserve">(row,</w:t>
      </w:r>
      <w:r>
        <w:rPr>
          <w:rStyle w:val="DataTypeTok"/>
        </w:rPr>
        <w:t xml:space="preserve">fitmodels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"exp5"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conthits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</w:p>
    <w:p>
      <w:pPr>
        <w:pStyle w:val="FirstParagraph"/>
      </w:pPr>
      <w:r>
        <w:t xml:space="preserve">The output of this run will be a list with two elements. The first (</w:t>
      </w:r>
      <w:r>
        <w:rPr>
          <w:rStyle w:val="VerbatimChar"/>
        </w:rPr>
        <w:t xml:space="preserve">summary</w:t>
      </w:r>
      <w:r>
        <w:t xml:space="preserve">) is a data frame with one row, summarizing the results for the winning model. The second (</w:t>
      </w:r>
      <w:r>
        <w:rPr>
          <w:rStyle w:val="VerbatimChar"/>
        </w:rPr>
        <w:t xml:space="preserve">all.models</w:t>
      </w:r>
      <w:r>
        <w:t xml:space="preserve">) is a list giving detailed results for all of the models that were run.</w:t>
      </w:r>
    </w:p>
    <w:p>
      <w:pPr>
        <w:pStyle w:val="Heading2"/>
      </w:pPr>
      <w:bookmarkStart w:id="23" w:name="example-2-running-a-series-of-concentration-response-models-for-a-single-assay"/>
      <w:bookmarkEnd w:id="23"/>
      <w:r>
        <w:t xml:space="preserve">Example 2: Running a series of concentration-response models for a single assay</w:t>
      </w:r>
    </w:p>
    <w:p>
      <w:pPr>
        <w:pStyle w:val="FirstParagraph"/>
      </w:pPr>
      <w:r>
        <w:t xml:space="preserve">The input data for this example is taken from one of the Tox21 HTS assays, for estrogen receptor (ER)</w:t>
      </w:r>
      <w:r>
        <w:t xml:space="preserve"> </w:t>
      </w:r>
      <w:r>
        <w:t xml:space="preserve">agonsit activity. The data is from the mc3 table in the database</w:t>
      </w:r>
      <w:r>
        <w:t xml:space="preserve"> </w:t>
      </w:r>
      <w:r>
        <w:rPr>
          <w:rStyle w:val="VerbatimChar"/>
        </w:rPr>
        <w:t xml:space="preserve">invitrodb</w:t>
      </w:r>
      <w:r>
        <w:t xml:space="preserve">, which is the backend for</w:t>
      </w:r>
      <w:r>
        <w:t xml:space="preserve"> </w:t>
      </w:r>
      <w:r>
        <w:rPr>
          <w:i/>
        </w:rPr>
        <w:t xml:space="preserve">tcpl</w:t>
      </w:r>
      <w:r>
        <w:t xml:space="preserve">. This example will run 6 chemicals out of the 100 that are included in the data set, and will create plots</w:t>
      </w:r>
      <w:r>
        <w:t xml:space="preserve"> </w:t>
      </w:r>
      <w:r>
        <w:t xml:space="preserve">for these. The plotting routine</w:t>
      </w:r>
      <w:r>
        <w:t xml:space="preserve"> </w:t>
      </w:r>
      <w:r>
        <w:rPr>
          <w:rStyle w:val="VerbatimChar"/>
        </w:rPr>
        <w:t xml:space="preserve">concRespPlot</w:t>
      </w:r>
      <w:r>
        <w:t xml:space="preserve"> </w:t>
      </w:r>
      <w:r>
        <w:t xml:space="preserve">is somewhat generic, and we anticipate that users will make</w:t>
      </w:r>
      <w:r>
        <w:t xml:space="preserve"> </w:t>
      </w:r>
      <w:r>
        <w:t xml:space="preserve">their own version of this. To run this example, use the following code …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"data/mc3.RData"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(mc3))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up a 3 x 2 grid for the plots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background variation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mc3[mc3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logc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bmad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mad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onesd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bmad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six samples. Note that there may be more than one sample processed for a given chemical</w:t>
      </w:r>
      <w:r>
        <w:br w:type="textWrapping"/>
      </w:r>
      <w:r>
        <w:rPr>
          <w:rStyle w:val="NormalTok"/>
        </w:rPr>
        <w:t xml:space="preserve">  spid.list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spid)</w:t>
      </w:r>
      <w:r>
        <w:br w:type="textWrapping"/>
      </w:r>
      <w:r>
        <w:rPr>
          <w:rStyle w:val="NormalTok"/>
        </w:rPr>
        <w:t xml:space="preserve">  spid.list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spid.list[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(spid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spid.list)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the data for just this sample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mc3[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(mc3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spid,spid),]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data file has stored concentration in log10 form, so fix that</w:t>
      </w:r>
      <w:r>
        <w:br w:type="textWrapping"/>
      </w:r>
      <w:r>
        <w:rPr>
          <w:rStyle w:val="NormalTok"/>
        </w:rPr>
        <w:t xml:space="preserve">    conc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logc</w:t>
      </w:r>
      <w:r>
        <w:br w:type="textWrapping"/>
      </w:r>
      <w:r>
        <w:rPr>
          <w:rStyle w:val="NormalTok"/>
        </w:rPr>
        <w:t xml:space="preserve">    resp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pull out all of the chemical identifiers and the name of the assay</w:t>
      </w:r>
      <w:r>
        <w:br w:type="textWrapping"/>
      </w:r>
      <w:r>
        <w:rPr>
          <w:rStyle w:val="NormalTok"/>
        </w:rPr>
        <w:t xml:space="preserve">    dtxsid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"dtxsid"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casrn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"casrn"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assay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"assay"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row object</w:t>
      </w:r>
      <w:r>
        <w:br w:type="textWrapping"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conc,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bmed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cutoff, </w:t>
      </w:r>
      <w:r>
        <w:rPr>
          <w:rStyle w:val="DataTypeTok"/>
        </w:rPr>
        <w:t xml:space="preserve">onesd =</w:t>
      </w:r>
      <w:r>
        <w:rPr>
          <w:rStyle w:val="NormalTok"/>
        </w:rPr>
        <w:t xml:space="preserve"> onesd,</w:t>
      </w:r>
      <w:r>
        <w:rPr>
          <w:rStyle w:val="DataTypeTok"/>
        </w:rPr>
        <w:t xml:space="preserve">assay=</w:t>
      </w:r>
      <w:r>
        <w:rPr>
          <w:rStyle w:val="NormalTok"/>
        </w:rPr>
        <w:t xml:space="preserve">assay,</w:t>
      </w:r>
      <w:r>
        <w:rPr>
          <w:rStyle w:val="DataTypeTok"/>
        </w:rPr>
        <w:t xml:space="preserve">dtxsid=</w:t>
      </w:r>
      <w:r>
        <w:rPr>
          <w:rStyle w:val="NormalTok"/>
        </w:rPr>
        <w:t xml:space="preserve">dtxsid,</w:t>
      </w:r>
      <w:r>
        <w:rPr>
          <w:rStyle w:val="DataTypeTok"/>
        </w:rPr>
        <w:t xml:space="preserve">casrn=</w:t>
      </w:r>
      <w:r>
        <w:rPr>
          <w:rStyle w:val="NormalTok"/>
        </w:rPr>
        <w:t xml:space="preserve">casrn,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name)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the concentration-response modeling for a single sample</w:t>
      </w:r>
      <w:r>
        <w:br w:type="textWrapping"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concRespCore</w:t>
      </w:r>
      <w:r>
        <w:rPr>
          <w:rStyle w:val="NormalTok"/>
        </w:rPr>
        <w:t xml:space="preserve">(row,</w:t>
      </w:r>
      <w:r>
        <w:rPr>
          <w:rStyle w:val="DataTypeTok"/>
        </w:rPr>
        <w:t xml:space="preserve">fitmodels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"exp4"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"exp5"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conthits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aicc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bidirectional=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results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concRespPlot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</w:p>
    <w:p>
      <w:pPr>
        <w:pStyle w:val="FirstParagraph"/>
      </w:pPr>
      <w:r>
        <w:t xml:space="preserve">One would typically save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rows in a data frame end export these for further analysis. You could</w:t>
      </w:r>
      <w:r>
        <w:t xml:space="preserve"> </w:t>
      </w:r>
      <w:r>
        <w:t xml:space="preserve">remove the plotting function from the current loop and have a loop that read from the overall results</w:t>
      </w:r>
      <w:r>
        <w:t xml:space="preserve"> </w:t>
      </w:r>
      <w:r>
        <w:t xml:space="preserve">data frame and only plot selected results (e.g. those with significant responses).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d8da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3bfb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tcplfit2-vignette</dc:title>
  <dc:creator/>
  <dcterms:created xsi:type="dcterms:W3CDTF">2020-01-07T22:49:01Z</dcterms:created>
  <dcterms:modified xsi:type="dcterms:W3CDTF">2020-01-07T22:49:01Z</dcterms:modified>
</cp:coreProperties>
</file>