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E865" w14:textId="248DB744" w:rsidR="00855614" w:rsidRDefault="00855614" w:rsidP="00855614">
      <w:pPr>
        <w:pStyle w:val="ListParagraph"/>
        <w:kinsoku w:val="0"/>
        <w:overflowPunct w:val="0"/>
        <w:autoSpaceDE w:val="0"/>
        <w:autoSpaceDN w:val="0"/>
        <w:adjustRightInd w:val="0"/>
        <w:spacing w:line="266" w:lineRule="exact"/>
        <w:ind w:left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A3257D">
        <w:rPr>
          <w:rFonts w:ascii="Times New Roman" w:hAnsi="Times New Roman" w:cs="Times New Roman"/>
          <w:bCs/>
          <w:sz w:val="24"/>
          <w:szCs w:val="24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e following </w:t>
      </w:r>
      <w:r w:rsidR="00193DBC">
        <w:rPr>
          <w:rFonts w:ascii="Times New Roman" w:hAnsi="Times New Roman" w:cs="Times New Roman"/>
          <w:bCs/>
          <w:sz w:val="24"/>
          <w:szCs w:val="24"/>
        </w:rPr>
        <w:t>checklist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summarizes QAPP requirements for </w:t>
      </w:r>
      <w:r w:rsidR="00EC3A15">
        <w:rPr>
          <w:rFonts w:ascii="Times New Roman" w:hAnsi="Times New Roman" w:cs="Times New Roman"/>
          <w:bCs/>
          <w:sz w:val="24"/>
          <w:szCs w:val="24"/>
        </w:rPr>
        <w:t>research</w:t>
      </w:r>
      <w:r>
        <w:rPr>
          <w:rFonts w:ascii="Times New Roman" w:hAnsi="Times New Roman" w:cs="Times New Roman"/>
          <w:bCs/>
          <w:sz w:val="24"/>
          <w:szCs w:val="24"/>
        </w:rPr>
        <w:t xml:space="preserve"> involving </w:t>
      </w:r>
      <w:r w:rsidR="00EC3A15">
        <w:rPr>
          <w:rFonts w:ascii="Times New Roman" w:hAnsi="Times New Roman" w:cs="Times New Roman"/>
          <w:bCs/>
          <w:sz w:val="24"/>
          <w:szCs w:val="24"/>
        </w:rPr>
        <w:t>measurements and monitoring (lab/field analysis)</w:t>
      </w:r>
      <w:r>
        <w:rPr>
          <w:rFonts w:ascii="Times New Roman" w:hAnsi="Times New Roman" w:cs="Times New Roman"/>
          <w:bCs/>
          <w:sz w:val="24"/>
          <w:szCs w:val="24"/>
        </w:rPr>
        <w:t xml:space="preserve">. More comprehensive guidance on developing QAPPs for research projects is provided in the EPA/240/R-02/009 report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titled “</w:t>
      </w:r>
      <w:r w:rsidRPr="001F3A3B">
        <w:rPr>
          <w:rFonts w:ascii="Times New Roman" w:hAnsi="Times New Roman" w:cs="Times New Roman"/>
          <w:bCs/>
          <w:sz w:val="24"/>
          <w:szCs w:val="24"/>
        </w:rPr>
        <w:t>Guidance for Quality Assurance Project Plans (</w:t>
      </w:r>
      <w:hyperlink r:id="rId12" w:history="1">
        <w:r w:rsidRPr="003F2B7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EPA QA/G-5</w:t>
        </w:r>
      </w:hyperlink>
      <w:r w:rsidRPr="001F3A3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.” The completed </w:t>
      </w:r>
      <w:r w:rsidR="004801A6">
        <w:rPr>
          <w:rFonts w:ascii="Times New Roman" w:hAnsi="Times New Roman" w:cs="Times New Roman"/>
          <w:bCs/>
          <w:sz w:val="24"/>
          <w:szCs w:val="24"/>
        </w:rPr>
        <w:t>checklist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will be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QA Track with the approved QAPP by the QA</w:t>
      </w:r>
      <w:r w:rsidR="00193DBC">
        <w:rPr>
          <w:rFonts w:ascii="Times New Roman" w:hAnsi="Times New Roman" w:cs="Times New Roman"/>
          <w:bCs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bCs/>
          <w:sz w:val="24"/>
          <w:szCs w:val="24"/>
        </w:rPr>
        <w:t xml:space="preserve"> when final.</w:t>
      </w:r>
    </w:p>
    <w:p w14:paraId="6CA61061" w14:textId="77777777" w:rsidR="00855614" w:rsidRDefault="00855614" w:rsidP="00855614">
      <w:pPr>
        <w:pStyle w:val="Heading2"/>
      </w:pPr>
    </w:p>
    <w:p w14:paraId="39CF46EF" w14:textId="08563911" w:rsidR="00855614" w:rsidRDefault="00960CE2" w:rsidP="00855614">
      <w:pPr>
        <w:pStyle w:val="Heading2"/>
      </w:pPr>
      <w:r>
        <w:t>B.1</w:t>
      </w:r>
      <w:r>
        <w:tab/>
      </w:r>
      <w:r w:rsidR="00855614">
        <w:t>EXPERIMENTAL DESIGN</w:t>
      </w:r>
    </w:p>
    <w:p w14:paraId="5FE115AA" w14:textId="77777777" w:rsidR="00855614" w:rsidRDefault="00855614" w:rsidP="008556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458"/>
        <w:gridCol w:w="3294"/>
      </w:tblGrid>
      <w:tr w:rsidR="00855614" w:rsidRPr="0066163D" w14:paraId="79EC8AAA" w14:textId="77777777" w:rsidTr="004B35A5">
        <w:tc>
          <w:tcPr>
            <w:tcW w:w="529" w:type="dxa"/>
          </w:tcPr>
          <w:p w14:paraId="5909089A" w14:textId="77777777" w:rsidR="00855614" w:rsidRPr="0066163D" w:rsidRDefault="00855614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4A9BE0B9" w14:textId="77777777" w:rsidR="00855614" w:rsidRPr="0066163D" w:rsidRDefault="00855614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5908FECF" w14:textId="77777777" w:rsidR="00855614" w:rsidRPr="0066163D" w:rsidRDefault="00855614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458" w:type="dxa"/>
          </w:tcPr>
          <w:p w14:paraId="492430BA" w14:textId="77777777" w:rsidR="00855614" w:rsidRPr="0066163D" w:rsidRDefault="00855614" w:rsidP="002D1C9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294" w:type="dxa"/>
          </w:tcPr>
          <w:p w14:paraId="0C6E2E22" w14:textId="77777777" w:rsidR="00855614" w:rsidRPr="0066163D" w:rsidRDefault="00855614" w:rsidP="002D1C9F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855614" w14:paraId="13AE53C2" w14:textId="77777777" w:rsidTr="004B35A5">
        <w:sdt>
          <w:sdtPr>
            <w:id w:val="-760522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0290A46E" w14:textId="77777777" w:rsidR="00855614" w:rsidRDefault="00855614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347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0200CF6E" w14:textId="77777777" w:rsidR="00855614" w:rsidRDefault="00855614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6135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74225CAB" w14:textId="77777777" w:rsidR="00855614" w:rsidRDefault="00855614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8" w:type="dxa"/>
          </w:tcPr>
          <w:p w14:paraId="6549F550" w14:textId="364B2D34" w:rsidR="001039E4" w:rsidRPr="00D53393" w:rsidRDefault="00512EA6" w:rsidP="00327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93">
              <w:rPr>
                <w:rFonts w:ascii="Times New Roman" w:hAnsi="Times New Roman" w:cs="Times New Roman"/>
                <w:sz w:val="24"/>
                <w:szCs w:val="24"/>
              </w:rPr>
              <w:t>Identify the specific analyte(s) of interest and the matrix/matrices</w:t>
            </w:r>
            <w:r w:rsidR="00327CE2" w:rsidRPr="00D533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039E4" w:rsidRPr="00D53393">
              <w:rPr>
                <w:rFonts w:ascii="Times New Roman" w:hAnsi="Times New Roman" w:cs="Times New Roman"/>
                <w:sz w:val="24"/>
                <w:szCs w:val="24"/>
              </w:rPr>
              <w:t>Classif</w:t>
            </w:r>
            <w:r w:rsidR="00327CE2" w:rsidRPr="00D5339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039E4" w:rsidRPr="00D53393">
              <w:rPr>
                <w:rFonts w:ascii="Times New Roman" w:hAnsi="Times New Roman" w:cs="Times New Roman"/>
                <w:sz w:val="24"/>
                <w:szCs w:val="24"/>
              </w:rPr>
              <w:t xml:space="preserve"> each measurement parameter as either critical or needed for information only</w:t>
            </w:r>
            <w:r w:rsidR="00746F54" w:rsidRPr="00D533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4" w:type="dxa"/>
          </w:tcPr>
          <w:p w14:paraId="6154F7AB" w14:textId="77777777" w:rsidR="00855614" w:rsidRDefault="00855614" w:rsidP="002D1C9F"/>
        </w:tc>
      </w:tr>
      <w:tr w:rsidR="00855614" w14:paraId="47913852" w14:textId="77777777" w:rsidTr="004B35A5">
        <w:sdt>
          <w:sdtPr>
            <w:id w:val="-976303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CBD0EFC" w14:textId="77777777" w:rsidR="00855614" w:rsidRDefault="00855614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883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BF4920C" w14:textId="77777777" w:rsidR="00855614" w:rsidRDefault="00855614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1841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0938831" w14:textId="77777777" w:rsidR="00855614" w:rsidRDefault="00855614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8" w:type="dxa"/>
            <w:vAlign w:val="center"/>
          </w:tcPr>
          <w:p w14:paraId="06DC6B43" w14:textId="5A0602C9" w:rsidR="00855614" w:rsidRPr="00D53393" w:rsidRDefault="001039E4" w:rsidP="00103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93">
              <w:rPr>
                <w:rFonts w:ascii="Times New Roman" w:hAnsi="Times New Roman" w:cs="Times New Roman"/>
                <w:sz w:val="24"/>
                <w:szCs w:val="24"/>
              </w:rPr>
              <w:t>Describe s</w:t>
            </w:r>
            <w:r w:rsidR="00603DD8" w:rsidRPr="00D53393">
              <w:rPr>
                <w:rFonts w:ascii="Times New Roman" w:hAnsi="Times New Roman" w:cs="Times New Roman"/>
                <w:sz w:val="24"/>
                <w:szCs w:val="24"/>
              </w:rPr>
              <w:t xml:space="preserve">ampling </w:t>
            </w:r>
            <w:r w:rsidR="00020287">
              <w:rPr>
                <w:rFonts w:ascii="Times New Roman" w:hAnsi="Times New Roman" w:cs="Times New Roman"/>
                <w:sz w:val="24"/>
                <w:szCs w:val="24"/>
              </w:rPr>
              <w:t xml:space="preserve">and/or experimental </w:t>
            </w:r>
            <w:r w:rsidR="00603DD8" w:rsidRPr="00D53393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 w:rsidR="008659DD">
              <w:rPr>
                <w:rFonts w:ascii="Times New Roman" w:hAnsi="Times New Roman" w:cs="Times New Roman"/>
                <w:sz w:val="24"/>
                <w:szCs w:val="24"/>
              </w:rPr>
              <w:t xml:space="preserve">to generate the data needed </w:t>
            </w:r>
            <w:r w:rsidR="00F044E4">
              <w:rPr>
                <w:rFonts w:ascii="Times New Roman" w:hAnsi="Times New Roman" w:cs="Times New Roman"/>
                <w:sz w:val="24"/>
                <w:szCs w:val="24"/>
              </w:rPr>
              <w:t>to evaluate the research objectives.</w:t>
            </w:r>
            <w:r w:rsidR="00603DD8" w:rsidRPr="00D533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1848">
              <w:rPr>
                <w:rFonts w:ascii="Times New Roman" w:hAnsi="Times New Roman" w:cs="Times New Roman"/>
                <w:sz w:val="24"/>
                <w:szCs w:val="24"/>
              </w:rPr>
              <w:t xml:space="preserve">A description of the design should include the </w:t>
            </w:r>
            <w:r w:rsidR="00F83CCD">
              <w:rPr>
                <w:rFonts w:ascii="Times New Roman" w:hAnsi="Times New Roman" w:cs="Times New Roman"/>
                <w:sz w:val="24"/>
                <w:szCs w:val="24"/>
              </w:rPr>
              <w:t xml:space="preserve">rationale for the design and </w:t>
            </w:r>
            <w:r w:rsidR="00152C4C" w:rsidRPr="00D5339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03DD8" w:rsidRPr="00D53393">
              <w:rPr>
                <w:rFonts w:ascii="Times New Roman" w:hAnsi="Times New Roman" w:cs="Times New Roman"/>
                <w:sz w:val="24"/>
                <w:szCs w:val="24"/>
              </w:rPr>
              <w:t>ypes and number of samples required</w:t>
            </w:r>
            <w:r w:rsidR="00EC4346">
              <w:rPr>
                <w:rFonts w:ascii="Times New Roman" w:hAnsi="Times New Roman" w:cs="Times New Roman"/>
                <w:sz w:val="24"/>
                <w:szCs w:val="24"/>
              </w:rPr>
              <w:t xml:space="preserve">, including any </w:t>
            </w:r>
            <w:r w:rsidR="0026057C">
              <w:rPr>
                <w:rFonts w:ascii="Times New Roman" w:hAnsi="Times New Roman" w:cs="Times New Roman"/>
                <w:sz w:val="24"/>
                <w:szCs w:val="24"/>
              </w:rPr>
              <w:t>field or experimental QC samples</w:t>
            </w:r>
            <w:r w:rsidR="00847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4" w:type="dxa"/>
            <w:vAlign w:val="center"/>
          </w:tcPr>
          <w:p w14:paraId="510BAA4D" w14:textId="77777777" w:rsidR="00855614" w:rsidRDefault="00855614" w:rsidP="002D1C9F"/>
        </w:tc>
      </w:tr>
      <w:tr w:rsidR="001039E4" w14:paraId="36505265" w14:textId="77777777" w:rsidTr="004B35A5">
        <w:sdt>
          <w:sdtPr>
            <w:id w:val="-1251811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0F8AA091" w14:textId="590E03A4" w:rsidR="001039E4" w:rsidRDefault="001039E4" w:rsidP="001039E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6063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43EA441" w14:textId="09AE822C" w:rsidR="001039E4" w:rsidRDefault="001039E4" w:rsidP="001039E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89681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023039B1" w14:textId="06C4926D" w:rsidR="001039E4" w:rsidRDefault="001039E4" w:rsidP="001039E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8" w:type="dxa"/>
            <w:vAlign w:val="center"/>
          </w:tcPr>
          <w:p w14:paraId="0F21FA3E" w14:textId="338B5AE0" w:rsidR="001039E4" w:rsidRPr="00D53393" w:rsidRDefault="006C1D61" w:rsidP="006C1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93">
              <w:rPr>
                <w:rFonts w:ascii="Times New Roman" w:hAnsi="Times New Roman" w:cs="Times New Roman"/>
                <w:sz w:val="24"/>
                <w:szCs w:val="24"/>
              </w:rPr>
              <w:t>Identify s</w:t>
            </w:r>
            <w:r w:rsidR="001039E4" w:rsidRPr="00D53393">
              <w:rPr>
                <w:rFonts w:ascii="Times New Roman" w:hAnsi="Times New Roman" w:cs="Times New Roman"/>
                <w:sz w:val="24"/>
                <w:szCs w:val="24"/>
              </w:rPr>
              <w:t>ampling locations</w:t>
            </w:r>
            <w:r w:rsidR="0098024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1039E4" w:rsidRPr="00D53393">
              <w:rPr>
                <w:rFonts w:ascii="Times New Roman" w:hAnsi="Times New Roman" w:cs="Times New Roman"/>
                <w:sz w:val="24"/>
                <w:szCs w:val="24"/>
              </w:rPr>
              <w:t xml:space="preserve"> frequency of sampling</w:t>
            </w:r>
            <w:r w:rsidRPr="00D533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4" w:type="dxa"/>
            <w:vAlign w:val="center"/>
          </w:tcPr>
          <w:p w14:paraId="2589E62F" w14:textId="77777777" w:rsidR="001039E4" w:rsidRDefault="001039E4" w:rsidP="001039E4"/>
        </w:tc>
      </w:tr>
    </w:tbl>
    <w:p w14:paraId="27A62F59" w14:textId="77777777" w:rsidR="00855614" w:rsidRDefault="00855614" w:rsidP="00855614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2D732E31" w14:textId="34A6E3AD" w:rsidR="00855614" w:rsidRPr="0009042E" w:rsidRDefault="00960CE2" w:rsidP="0085561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B.2</w:t>
      </w:r>
      <w:r>
        <w:tab/>
      </w:r>
      <w:r w:rsidR="004B35A5">
        <w:t>SAMPLING PROCEDURES</w:t>
      </w:r>
    </w:p>
    <w:p w14:paraId="36BFE4DE" w14:textId="77777777" w:rsidR="00855614" w:rsidRDefault="00855614" w:rsidP="00855614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520"/>
        <w:gridCol w:w="3232"/>
      </w:tblGrid>
      <w:tr w:rsidR="00855614" w:rsidRPr="0066163D" w14:paraId="2EFFE14A" w14:textId="77777777" w:rsidTr="00186AEC">
        <w:trPr>
          <w:tblHeader/>
        </w:trPr>
        <w:tc>
          <w:tcPr>
            <w:tcW w:w="529" w:type="dxa"/>
          </w:tcPr>
          <w:p w14:paraId="7ABBF508" w14:textId="77777777" w:rsidR="00855614" w:rsidRPr="0066163D" w:rsidRDefault="00855614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17B432B0" w14:textId="77777777" w:rsidR="00855614" w:rsidRPr="0066163D" w:rsidRDefault="00855614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77094A4C" w14:textId="77777777" w:rsidR="00855614" w:rsidRPr="0066163D" w:rsidRDefault="00855614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520" w:type="dxa"/>
          </w:tcPr>
          <w:p w14:paraId="3A7446F0" w14:textId="77777777" w:rsidR="00855614" w:rsidRPr="0066163D" w:rsidRDefault="00855614" w:rsidP="002D1C9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232" w:type="dxa"/>
          </w:tcPr>
          <w:p w14:paraId="19D22C72" w14:textId="77777777" w:rsidR="00855614" w:rsidRPr="0066163D" w:rsidRDefault="00855614" w:rsidP="002D1C9F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675F56" w14:paraId="44F8BCCB" w14:textId="77777777" w:rsidTr="00186AEC">
        <w:sdt>
          <w:sdtPr>
            <w:id w:val="-1344393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29729F7D" w14:textId="77777777" w:rsidR="00675F56" w:rsidRDefault="00675F56" w:rsidP="00675F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23818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2D5D3C74" w14:textId="77777777" w:rsidR="00675F56" w:rsidRDefault="00675F56" w:rsidP="00675F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788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6CE4F0E6" w14:textId="77777777" w:rsidR="00675F56" w:rsidRDefault="00675F56" w:rsidP="00675F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20" w:type="dxa"/>
          </w:tcPr>
          <w:p w14:paraId="25FAA1B1" w14:textId="7987FBD6" w:rsidR="00675F56" w:rsidRPr="00F41CC9" w:rsidRDefault="00F41CC9" w:rsidP="00675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C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non-synthetic (i.e., real-world sample) samples are used </w:t>
            </w:r>
            <w:r w:rsidRPr="00F41CC9">
              <w:rPr>
                <w:rFonts w:ascii="Times New Roman" w:hAnsi="Times New Roman" w:cs="Times New Roman"/>
                <w:sz w:val="24"/>
                <w:szCs w:val="24"/>
              </w:rPr>
              <w:t xml:space="preserve">describe the sampling design that will be </w:t>
            </w:r>
            <w:proofErr w:type="gramStart"/>
            <w:r w:rsidRPr="00F41CC9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gramEnd"/>
            <w:r w:rsidRPr="00F41CC9">
              <w:rPr>
                <w:rFonts w:ascii="Times New Roman" w:hAnsi="Times New Roman" w:cs="Times New Roman"/>
                <w:sz w:val="24"/>
                <w:szCs w:val="24"/>
              </w:rPr>
              <w:t xml:space="preserve"> and the steps taken to assure that representative samples are collected.</w:t>
            </w:r>
          </w:p>
        </w:tc>
        <w:tc>
          <w:tcPr>
            <w:tcW w:w="3232" w:type="dxa"/>
          </w:tcPr>
          <w:p w14:paraId="1B19B9C7" w14:textId="77777777" w:rsidR="00675F56" w:rsidRDefault="00675F56" w:rsidP="00675F56"/>
        </w:tc>
      </w:tr>
      <w:tr w:rsidR="00675F56" w14:paraId="6DAD038B" w14:textId="77777777" w:rsidTr="00186AEC">
        <w:sdt>
          <w:sdtPr>
            <w:id w:val="-1875537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56F85C0" w14:textId="7ED00359" w:rsidR="00675F56" w:rsidRDefault="00675F56" w:rsidP="00675F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1273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726ACD98" w14:textId="77777777" w:rsidR="00675F56" w:rsidRDefault="00675F56" w:rsidP="00675F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7532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065E3EED" w14:textId="77777777" w:rsidR="00675F56" w:rsidRDefault="00675F56" w:rsidP="00675F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20" w:type="dxa"/>
          </w:tcPr>
          <w:p w14:paraId="68A0C391" w14:textId="3A279D2E" w:rsidR="00675F56" w:rsidRPr="00F41CC9" w:rsidRDefault="00883350" w:rsidP="00675F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1C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synthetic (i.e., laboratory-prepared) samples are used, describe the preparation of these samples.</w:t>
            </w:r>
          </w:p>
        </w:tc>
        <w:tc>
          <w:tcPr>
            <w:tcW w:w="3232" w:type="dxa"/>
          </w:tcPr>
          <w:p w14:paraId="7A7B77BA" w14:textId="77777777" w:rsidR="00675F56" w:rsidRDefault="00675F56" w:rsidP="00675F56"/>
        </w:tc>
      </w:tr>
      <w:tr w:rsidR="00F34673" w14:paraId="5557E13F" w14:textId="77777777" w:rsidTr="00186AEC">
        <w:sdt>
          <w:sdtPr>
            <w:id w:val="-1886559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088585D" w14:textId="5C246B41" w:rsidR="00F34673" w:rsidRDefault="00F34673" w:rsidP="00F3467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0079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9B2A35A" w14:textId="19D57F73" w:rsidR="00F34673" w:rsidRDefault="00F34673" w:rsidP="00F3467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14262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5319D0C" w14:textId="2E872F7A" w:rsidR="00F34673" w:rsidRDefault="00F34673" w:rsidP="00F3467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20" w:type="dxa"/>
          </w:tcPr>
          <w:p w14:paraId="4B6297AC" w14:textId="10E8C9D7" w:rsidR="00F34673" w:rsidRPr="00AA2152" w:rsidRDefault="00F34673" w:rsidP="002A5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152">
              <w:rPr>
                <w:rFonts w:ascii="Times New Roman" w:hAnsi="Times New Roman" w:cs="Times New Roman"/>
                <w:sz w:val="24"/>
                <w:szCs w:val="24"/>
              </w:rPr>
              <w:t xml:space="preserve">Describe the decontamination procedures for </w:t>
            </w:r>
            <w:r w:rsidR="00BF7C1F" w:rsidRPr="00AA2152">
              <w:rPr>
                <w:rFonts w:ascii="Times New Roman" w:hAnsi="Times New Roman" w:cs="Times New Roman"/>
                <w:sz w:val="24"/>
                <w:szCs w:val="24"/>
              </w:rPr>
              <w:t xml:space="preserve">any </w:t>
            </w:r>
            <w:r w:rsidRPr="00AA2152">
              <w:rPr>
                <w:rFonts w:ascii="Times New Roman" w:hAnsi="Times New Roman" w:cs="Times New Roman"/>
                <w:sz w:val="24"/>
                <w:szCs w:val="24"/>
              </w:rPr>
              <w:t>sampling equipment t</w:t>
            </w:r>
            <w:r w:rsidR="00BF7C1F" w:rsidRPr="00AA2152">
              <w:rPr>
                <w:rFonts w:ascii="Times New Roman" w:hAnsi="Times New Roman" w:cs="Times New Roman"/>
                <w:sz w:val="24"/>
                <w:szCs w:val="24"/>
              </w:rPr>
              <w:t>hat will be</w:t>
            </w:r>
            <w:r w:rsidRPr="00AA21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7C1F" w:rsidRPr="00AA2152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AA2152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="002A5F6C" w:rsidRPr="00AA2152">
              <w:rPr>
                <w:rFonts w:ascii="Times New Roman" w:hAnsi="Times New Roman" w:cs="Times New Roman"/>
                <w:sz w:val="24"/>
                <w:szCs w:val="24"/>
              </w:rPr>
              <w:t xml:space="preserve"> to prevent cross contamination</w:t>
            </w:r>
            <w:r w:rsidR="00392A21" w:rsidRPr="00AA21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32" w:type="dxa"/>
          </w:tcPr>
          <w:p w14:paraId="206171CF" w14:textId="77777777" w:rsidR="00F34673" w:rsidRDefault="00F34673" w:rsidP="00F34673"/>
        </w:tc>
      </w:tr>
      <w:tr w:rsidR="00AA2152" w14:paraId="7C4B42CB" w14:textId="77777777" w:rsidTr="00186AEC">
        <w:sdt>
          <w:sdtPr>
            <w:id w:val="823702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445D429F" w14:textId="15B08CEF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16436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8D1B5B0" w14:textId="311B5B81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3993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033F84E" w14:textId="019243ED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20" w:type="dxa"/>
          </w:tcPr>
          <w:p w14:paraId="54C99A3B" w14:textId="5B08B5AF" w:rsidR="00AA2152" w:rsidRPr="00AA2152" w:rsidRDefault="00AA2152" w:rsidP="00AA2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152">
              <w:rPr>
                <w:rFonts w:ascii="Times New Roman" w:hAnsi="Times New Roman" w:cs="Times New Roman"/>
                <w:sz w:val="24"/>
                <w:szCs w:val="24"/>
              </w:rPr>
              <w:t>Provide a list of sample containers, sample quantities to be collected, and the sample amount required for each analysis, including QC sample analysis.</w:t>
            </w:r>
          </w:p>
        </w:tc>
        <w:tc>
          <w:tcPr>
            <w:tcW w:w="3232" w:type="dxa"/>
          </w:tcPr>
          <w:p w14:paraId="552EB7BA" w14:textId="77777777" w:rsidR="00AA2152" w:rsidRDefault="00AA2152" w:rsidP="00AA2152"/>
        </w:tc>
      </w:tr>
      <w:tr w:rsidR="00AA2152" w14:paraId="1F8D82DE" w14:textId="77777777" w:rsidTr="00186AEC">
        <w:sdt>
          <w:sdtPr>
            <w:id w:val="-541364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2861BC3D" w14:textId="005E5760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90183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87F36BE" w14:textId="1AA521D3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2861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5363F4E8" w14:textId="5640D533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20" w:type="dxa"/>
          </w:tcPr>
          <w:p w14:paraId="3CB758F9" w14:textId="26B3B520" w:rsidR="00AA2152" w:rsidRPr="00D53393" w:rsidRDefault="00AA2152" w:rsidP="00AA2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Describe labeling (information to be included) and uniquely numbering each sample.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32" w:type="dxa"/>
          </w:tcPr>
          <w:p w14:paraId="60DD297D" w14:textId="77777777" w:rsidR="00AA2152" w:rsidRDefault="00AA2152" w:rsidP="00AA2152"/>
        </w:tc>
      </w:tr>
      <w:tr w:rsidR="00AA2152" w14:paraId="2942071D" w14:textId="77777777" w:rsidTr="00186AEC">
        <w:sdt>
          <w:sdtPr>
            <w:id w:val="-250898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31D8204B" w14:textId="7F240A3A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59210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B5BB48A" w14:textId="65F86ABA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15824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829DD10" w14:textId="062350C5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20" w:type="dxa"/>
          </w:tcPr>
          <w:p w14:paraId="19127ADE" w14:textId="6D8BEA7D" w:rsidR="00AA2152" w:rsidRPr="00D53393" w:rsidRDefault="00AA2152" w:rsidP="00AA2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393">
              <w:rPr>
                <w:rFonts w:ascii="Times New Roman" w:hAnsi="Times New Roman" w:cs="Times New Roman"/>
                <w:sz w:val="24"/>
                <w:szCs w:val="24"/>
              </w:rPr>
              <w:t xml:space="preserve">Specify sample preservation requirements (e.g., refrigeration, acidification, etc.)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sample </w:t>
            </w:r>
            <w:r w:rsidRPr="00D53393">
              <w:rPr>
                <w:rFonts w:ascii="Times New Roman" w:hAnsi="Times New Roman" w:cs="Times New Roman"/>
                <w:sz w:val="24"/>
                <w:szCs w:val="24"/>
              </w:rPr>
              <w:t xml:space="preserve">hold times.  </w:t>
            </w:r>
          </w:p>
        </w:tc>
        <w:tc>
          <w:tcPr>
            <w:tcW w:w="3232" w:type="dxa"/>
          </w:tcPr>
          <w:p w14:paraId="75005822" w14:textId="77777777" w:rsidR="00AA2152" w:rsidRDefault="00AA2152" w:rsidP="00AA2152"/>
        </w:tc>
      </w:tr>
      <w:tr w:rsidR="00AA2152" w14:paraId="7C3FFB79" w14:textId="77777777" w:rsidTr="00186AEC">
        <w:sdt>
          <w:sdtPr>
            <w:id w:val="640551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216DD7C5" w14:textId="77777777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6777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0DFB662E" w14:textId="77777777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491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008B9C60" w14:textId="77777777" w:rsidR="00AA2152" w:rsidRDefault="00AA2152" w:rsidP="00AA215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20" w:type="dxa"/>
          </w:tcPr>
          <w:p w14:paraId="06FAC20E" w14:textId="095244DE" w:rsidR="00AA2152" w:rsidRPr="00D53393" w:rsidRDefault="00AA2152" w:rsidP="00AA215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53393">
              <w:rPr>
                <w:rFonts w:ascii="Times New Roman" w:hAnsi="Times New Roman" w:cs="Times New Roman"/>
                <w:sz w:val="24"/>
                <w:szCs w:val="24"/>
              </w:rPr>
              <w:t>If non-synthetic (i.e., real-world sample) samples are used describe procedures for packing and shipping samples, and provisions for maintaining chain-of-custody, as applicable.</w:t>
            </w:r>
          </w:p>
        </w:tc>
        <w:tc>
          <w:tcPr>
            <w:tcW w:w="3232" w:type="dxa"/>
          </w:tcPr>
          <w:p w14:paraId="5CF348E2" w14:textId="77777777" w:rsidR="00AA2152" w:rsidRDefault="00AA2152" w:rsidP="00AA2152"/>
        </w:tc>
      </w:tr>
    </w:tbl>
    <w:p w14:paraId="73DFEBC4" w14:textId="76173AD3" w:rsidR="00C20B60" w:rsidRPr="00C20B60" w:rsidRDefault="00C20B60" w:rsidP="00C20B60">
      <w:pPr>
        <w:pStyle w:val="Default"/>
        <w:rPr>
          <w:sz w:val="22"/>
          <w:szCs w:val="22"/>
        </w:rPr>
      </w:pPr>
      <w:r w:rsidRPr="00C20B60">
        <w:rPr>
          <w:sz w:val="22"/>
          <w:szCs w:val="22"/>
        </w:rPr>
        <w:t xml:space="preserve"> </w:t>
      </w:r>
    </w:p>
    <w:p w14:paraId="5CBE096E" w14:textId="6428DFED" w:rsidR="00186AEC" w:rsidRDefault="00960CE2" w:rsidP="00186AEC">
      <w:pPr>
        <w:pStyle w:val="Heading2"/>
      </w:pPr>
      <w:r>
        <w:t>B.3</w:t>
      </w:r>
      <w:r>
        <w:tab/>
      </w:r>
      <w:r w:rsidR="00186AEC">
        <w:t>MEASUREMENT PROCEDURES</w:t>
      </w:r>
    </w:p>
    <w:p w14:paraId="017C9A5B" w14:textId="77777777" w:rsidR="00186AEC" w:rsidRDefault="00186AEC" w:rsidP="00186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458"/>
        <w:gridCol w:w="3294"/>
      </w:tblGrid>
      <w:tr w:rsidR="00186AEC" w:rsidRPr="0066163D" w14:paraId="77E81784" w14:textId="77777777" w:rsidTr="002D1C9F">
        <w:tc>
          <w:tcPr>
            <w:tcW w:w="529" w:type="dxa"/>
          </w:tcPr>
          <w:p w14:paraId="243A3CEC" w14:textId="77777777" w:rsidR="00186AEC" w:rsidRPr="0066163D" w:rsidRDefault="00186AEC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693FF57C" w14:textId="77777777" w:rsidR="00186AEC" w:rsidRPr="0066163D" w:rsidRDefault="00186AEC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55B993E3" w14:textId="77777777" w:rsidR="00186AEC" w:rsidRPr="0066163D" w:rsidRDefault="00186AEC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458" w:type="dxa"/>
          </w:tcPr>
          <w:p w14:paraId="4B6B5AF5" w14:textId="77777777" w:rsidR="00186AEC" w:rsidRPr="0066163D" w:rsidRDefault="00186AEC" w:rsidP="002D1C9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294" w:type="dxa"/>
          </w:tcPr>
          <w:p w14:paraId="708D4DA1" w14:textId="77777777" w:rsidR="00186AEC" w:rsidRPr="0066163D" w:rsidRDefault="00186AEC" w:rsidP="002D1C9F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EC2EC5" w14:paraId="1892D6DC" w14:textId="77777777" w:rsidTr="002D1C9F">
        <w:sdt>
          <w:sdtPr>
            <w:id w:val="-368608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0C2DC7BD" w14:textId="0230E42C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64947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3545FAC" w14:textId="5E0722F1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5688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66E7244C" w14:textId="520F11B0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8" w:type="dxa"/>
          </w:tcPr>
          <w:p w14:paraId="4C685724" w14:textId="70741228" w:rsidR="00EC2EC5" w:rsidRDefault="00EC2EC5" w:rsidP="00EC2EC5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field analyses</w:t>
            </w:r>
            <w:r w:rsidR="004215F0">
              <w:rPr>
                <w:rFonts w:ascii="Times New Roman" w:hAnsi="Times New Roman" w:cs="Times New Roman"/>
                <w:sz w:val="24"/>
                <w:szCs w:val="24"/>
              </w:rPr>
              <w:t xml:space="preserve"> (including in-line </w:t>
            </w:r>
            <w:r w:rsidR="00F1205F">
              <w:rPr>
                <w:rFonts w:ascii="Times New Roman" w:hAnsi="Times New Roman" w:cs="Times New Roman"/>
                <w:sz w:val="24"/>
                <w:szCs w:val="24"/>
              </w:rPr>
              <w:t>measurements)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 xml:space="preserve">escribe in detail or reference each </w:t>
            </w:r>
            <w:r w:rsidR="00911F0B">
              <w:rPr>
                <w:rFonts w:ascii="Times New Roman" w:hAnsi="Times New Roman" w:cs="Times New Roman"/>
                <w:sz w:val="24"/>
                <w:szCs w:val="24"/>
              </w:rPr>
              <w:t>field sample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1F0B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="000D6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 xml:space="preserve">and instrumentation to be used. Include steps for </w:t>
            </w:r>
            <w:r w:rsidR="00FC0B28">
              <w:rPr>
                <w:rFonts w:ascii="Times New Roman" w:hAnsi="Times New Roman" w:cs="Times New Roman"/>
                <w:sz w:val="24"/>
                <w:szCs w:val="24"/>
              </w:rPr>
              <w:t>instrument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 xml:space="preserve"> calibration, measurement, quality control, and </w:t>
            </w:r>
            <w:r w:rsidR="00FC0B28">
              <w:rPr>
                <w:rFonts w:ascii="Times New Roman" w:hAnsi="Times New Roman" w:cs="Times New Roman"/>
                <w:sz w:val="24"/>
                <w:szCs w:val="24"/>
              </w:rPr>
              <w:t>documentation of results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4" w:type="dxa"/>
          </w:tcPr>
          <w:p w14:paraId="59E3F09F" w14:textId="77777777" w:rsidR="00EC2EC5" w:rsidRDefault="00EC2EC5" w:rsidP="00EC2EC5"/>
        </w:tc>
      </w:tr>
      <w:tr w:rsidR="00EC2EC5" w14:paraId="5DF5A6E2" w14:textId="77777777" w:rsidTr="002D1C9F">
        <w:sdt>
          <w:sdtPr>
            <w:id w:val="-663779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DDB10E0" w14:textId="77777777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41864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782326D5" w14:textId="77777777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421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7795A1D3" w14:textId="77777777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8" w:type="dxa"/>
          </w:tcPr>
          <w:p w14:paraId="426E23F2" w14:textId="1AEA6C35" w:rsidR="00EC2EC5" w:rsidRPr="00BA778C" w:rsidRDefault="00EC2EC5" w:rsidP="00EC2EC5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laboratory analyses, d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 xml:space="preserve">escribe in detail or reference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sample 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 xml:space="preserve">preparation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 (e.g., sample extractions) and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 xml:space="preserve"> analytical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r w:rsidRPr="00BA778C">
              <w:rPr>
                <w:rFonts w:ascii="Times New Roman" w:hAnsi="Times New Roman" w:cs="Times New Roman"/>
                <w:sz w:val="24"/>
                <w:szCs w:val="24"/>
              </w:rPr>
              <w:t>, equipment and instrumentation to be used. Include steps for preparation, calibration, measurement, quality control, and reporting.</w:t>
            </w:r>
          </w:p>
        </w:tc>
        <w:tc>
          <w:tcPr>
            <w:tcW w:w="3294" w:type="dxa"/>
          </w:tcPr>
          <w:p w14:paraId="1665E457" w14:textId="77777777" w:rsidR="00EC2EC5" w:rsidRDefault="00EC2EC5" w:rsidP="00EC2EC5"/>
        </w:tc>
      </w:tr>
      <w:tr w:rsidR="00EC2EC5" w14:paraId="632EB03E" w14:textId="77777777" w:rsidTr="002D1C9F">
        <w:sdt>
          <w:sdtPr>
            <w:id w:val="-446780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34101EAB" w14:textId="77777777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8889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6975558B" w14:textId="77777777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69278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555FA404" w14:textId="77777777" w:rsidR="00EC2EC5" w:rsidRDefault="00EC2EC5" w:rsidP="00EC2EC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8" w:type="dxa"/>
            <w:vAlign w:val="center"/>
          </w:tcPr>
          <w:p w14:paraId="51240438" w14:textId="69ECFE45" w:rsidR="00EC2EC5" w:rsidRPr="00B23FAA" w:rsidRDefault="00EC2EC5" w:rsidP="00EC2EC5">
            <w:pPr>
              <w:pStyle w:val="Default"/>
            </w:pPr>
            <w:r w:rsidRPr="00855614">
              <w:t>Include specific calibration procedures, including linearity checks and initial and continuing calibration checks</w:t>
            </w:r>
            <w:r>
              <w:t>, and detection limits</w:t>
            </w:r>
            <w:r w:rsidRPr="00855614">
              <w:t xml:space="preserve">. </w:t>
            </w:r>
          </w:p>
        </w:tc>
        <w:tc>
          <w:tcPr>
            <w:tcW w:w="3294" w:type="dxa"/>
            <w:vAlign w:val="center"/>
          </w:tcPr>
          <w:p w14:paraId="6DC2BF38" w14:textId="77777777" w:rsidR="00EC2EC5" w:rsidRDefault="00EC2EC5" w:rsidP="00EC2EC5"/>
        </w:tc>
      </w:tr>
    </w:tbl>
    <w:p w14:paraId="6E4FACCD" w14:textId="2ECA0759" w:rsidR="00186AEC" w:rsidRDefault="00186AEC" w:rsidP="00186AEC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08FD135C" w14:textId="59342916" w:rsidR="00BA778C" w:rsidRDefault="00BA5321" w:rsidP="00BA778C">
      <w:pPr>
        <w:pStyle w:val="Heading2"/>
      </w:pPr>
      <w:r>
        <w:t>B.4</w:t>
      </w:r>
      <w:r>
        <w:tab/>
      </w:r>
      <w:r w:rsidR="00BA778C">
        <w:t>METHOD PERFORMANCE METRICS</w:t>
      </w:r>
    </w:p>
    <w:p w14:paraId="6FDC5C1A" w14:textId="77777777" w:rsidR="00BA778C" w:rsidRDefault="00BA778C" w:rsidP="00BA7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458"/>
        <w:gridCol w:w="3294"/>
      </w:tblGrid>
      <w:tr w:rsidR="00BA778C" w:rsidRPr="0066163D" w14:paraId="68275853" w14:textId="77777777" w:rsidTr="002D1C9F">
        <w:tc>
          <w:tcPr>
            <w:tcW w:w="529" w:type="dxa"/>
          </w:tcPr>
          <w:p w14:paraId="73C64DAC" w14:textId="77777777" w:rsidR="00BA778C" w:rsidRPr="0066163D" w:rsidRDefault="00BA778C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199EC5FC" w14:textId="77777777" w:rsidR="00BA778C" w:rsidRPr="0066163D" w:rsidRDefault="00BA778C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7B1E09D1" w14:textId="77777777" w:rsidR="00BA778C" w:rsidRPr="0066163D" w:rsidRDefault="00BA778C" w:rsidP="002D1C9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458" w:type="dxa"/>
          </w:tcPr>
          <w:p w14:paraId="4A6B9CBF" w14:textId="77777777" w:rsidR="00BA778C" w:rsidRPr="0066163D" w:rsidRDefault="00BA778C" w:rsidP="002D1C9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294" w:type="dxa"/>
          </w:tcPr>
          <w:p w14:paraId="1D69351D" w14:textId="77777777" w:rsidR="00BA778C" w:rsidRPr="0066163D" w:rsidRDefault="00BA778C" w:rsidP="002D1C9F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BA778C" w14:paraId="460854DD" w14:textId="77777777" w:rsidTr="002D1C9F">
        <w:sdt>
          <w:sdtPr>
            <w:id w:val="-394435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48744A3C" w14:textId="77777777" w:rsidR="00BA778C" w:rsidRDefault="00BA778C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0795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050B0B9" w14:textId="77777777" w:rsidR="00BA778C" w:rsidRDefault="00BA778C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3425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2986347" w14:textId="77777777" w:rsidR="00BA778C" w:rsidRDefault="00BA778C" w:rsidP="002D1C9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8" w:type="dxa"/>
          </w:tcPr>
          <w:p w14:paraId="4B256BDD" w14:textId="3A37F1AC" w:rsidR="00BA778C" w:rsidRPr="00BA778C" w:rsidRDefault="00BA778C" w:rsidP="004801A6">
            <w:pPr>
              <w:pStyle w:val="CM10"/>
              <w:spacing w:line="276" w:lineRule="atLeast"/>
              <w:ind w:right="13"/>
              <w:rPr>
                <w:color w:val="000000"/>
              </w:rPr>
            </w:pPr>
            <w:r w:rsidRPr="00855614">
              <w:rPr>
                <w:color w:val="000000"/>
              </w:rPr>
              <w:t xml:space="preserve">For each </w:t>
            </w:r>
            <w:r w:rsidR="00FD750E">
              <w:rPr>
                <w:color w:val="000000"/>
              </w:rPr>
              <w:t xml:space="preserve">analysis </w:t>
            </w:r>
            <w:r w:rsidRPr="00855614">
              <w:rPr>
                <w:color w:val="000000"/>
              </w:rPr>
              <w:t xml:space="preserve">method QC check </w:t>
            </w:r>
            <w:r w:rsidR="001B1A25">
              <w:t xml:space="preserve">(e.g., blanks, control samples, duplicates, matrix spikes, surrogates) </w:t>
            </w:r>
            <w:r w:rsidRPr="00855614">
              <w:rPr>
                <w:color w:val="000000"/>
              </w:rPr>
              <w:t xml:space="preserve">specify the frequencies for performing these checks, associated acceptance criteria, and corrective actions to be performed if acceptance criteria are not met. </w:t>
            </w:r>
          </w:p>
        </w:tc>
        <w:tc>
          <w:tcPr>
            <w:tcW w:w="3294" w:type="dxa"/>
          </w:tcPr>
          <w:p w14:paraId="75A7EBA7" w14:textId="77777777" w:rsidR="00BA778C" w:rsidRDefault="00BA778C" w:rsidP="002D1C9F"/>
        </w:tc>
      </w:tr>
    </w:tbl>
    <w:p w14:paraId="1788C01E" w14:textId="77777777" w:rsidR="00BA778C" w:rsidRDefault="00BA778C" w:rsidP="00186AEC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3A01A0CC" w14:textId="77777777" w:rsidR="00193DBC" w:rsidRDefault="00193DBC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  <w:r>
        <w:br w:type="page"/>
      </w:r>
    </w:p>
    <w:p w14:paraId="7E7EFD55" w14:textId="77777777" w:rsidR="00E93761" w:rsidRPr="00855614" w:rsidRDefault="00E93761" w:rsidP="00C20B60">
      <w:pPr>
        <w:pStyle w:val="Default"/>
        <w:spacing w:after="204"/>
        <w:rPr>
          <w:b/>
          <w:bCs/>
        </w:rPr>
      </w:pPr>
    </w:p>
    <w:p w14:paraId="343DF3DA" w14:textId="77777777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360" w:right="453"/>
        <w:jc w:val="both"/>
      </w:pPr>
    </w:p>
    <w:p w14:paraId="47C0C404" w14:textId="77777777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QAPP Name______________________________________________________________________</w:t>
      </w:r>
    </w:p>
    <w:p w14:paraId="492CB4C7" w14:textId="77777777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532022A3" w14:textId="0497EDFC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PI Name/Date_____________________________________________________________________</w:t>
      </w:r>
    </w:p>
    <w:p w14:paraId="12DDBA15" w14:textId="77777777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5F387C90" w14:textId="60E1350E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QAM Name/Date__________________________________________________________________</w:t>
      </w:r>
    </w:p>
    <w:p w14:paraId="150F7E5A" w14:textId="77777777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0E6EF49A" w14:textId="023FB3CB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1201" w:right="453" w:hanging="1201"/>
        <w:jc w:val="both"/>
      </w:pPr>
      <w:r>
        <w:t>QA Track ID#______________________________________________________________________</w:t>
      </w:r>
    </w:p>
    <w:p w14:paraId="51AA6A5F" w14:textId="77777777" w:rsidR="00F91E2E" w:rsidRDefault="00F91E2E" w:rsidP="00F91E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46967F7E" w14:textId="30C09D6A" w:rsidR="00A9204E" w:rsidRPr="00855614" w:rsidRDefault="00A9204E" w:rsidP="00C20B60">
      <w:pPr>
        <w:rPr>
          <w:rFonts w:ascii="Times New Roman" w:hAnsi="Times New Roman" w:cs="Times New Roman"/>
          <w:sz w:val="24"/>
          <w:szCs w:val="24"/>
        </w:rPr>
      </w:pPr>
    </w:p>
    <w:sectPr w:rsidR="00A9204E" w:rsidRPr="0085561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EAA6" w14:textId="77777777" w:rsidR="00FA5ED8" w:rsidRDefault="00FA5ED8" w:rsidP="00855614">
      <w:r>
        <w:separator/>
      </w:r>
    </w:p>
  </w:endnote>
  <w:endnote w:type="continuationSeparator" w:id="0">
    <w:p w14:paraId="79594EEE" w14:textId="77777777" w:rsidR="00FA5ED8" w:rsidRDefault="00FA5ED8" w:rsidP="0085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8"/>
      <w:gridCol w:w="3121"/>
      <w:gridCol w:w="3131"/>
    </w:tblGrid>
    <w:tr w:rsidR="00C7137B" w14:paraId="7B45C976" w14:textId="77777777" w:rsidTr="00C7137B">
      <w:tc>
        <w:tcPr>
          <w:tcW w:w="3196" w:type="dxa"/>
        </w:tcPr>
        <w:p w14:paraId="73D37AC8" w14:textId="77777777" w:rsidR="00C7137B" w:rsidRDefault="00C7137B" w:rsidP="00C7137B">
          <w:pPr>
            <w:pStyle w:val="Footer"/>
            <w:jc w:val="center"/>
          </w:pPr>
        </w:p>
      </w:tc>
      <w:tc>
        <w:tcPr>
          <w:tcW w:w="3197" w:type="dxa"/>
          <w:hideMark/>
        </w:tcPr>
        <w:p w14:paraId="131A2E17" w14:textId="77777777" w:rsidR="00C7137B" w:rsidRDefault="00C7137B" w:rsidP="00C7137B">
          <w:pPr>
            <w:pStyle w:val="Footer"/>
            <w:jc w:val="center"/>
          </w:pPr>
          <w:r>
            <w:t xml:space="preserve">Page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NUMPAGES  \* Arabic  \* MERGEFORMAT </w:instrText>
          </w:r>
          <w:r>
            <w:rPr>
              <w:bCs/>
              <w:noProof/>
            </w:rPr>
            <w:fldChar w:fldCharType="separate"/>
          </w:r>
          <w:r>
            <w:rPr>
              <w:bCs/>
              <w:noProof/>
            </w:rPr>
            <w:t>2</w:t>
          </w:r>
          <w:r>
            <w:rPr>
              <w:bCs/>
              <w:noProof/>
            </w:rPr>
            <w:fldChar w:fldCharType="end"/>
          </w:r>
        </w:p>
      </w:tc>
      <w:tc>
        <w:tcPr>
          <w:tcW w:w="3197" w:type="dxa"/>
          <w:hideMark/>
        </w:tcPr>
        <w:p w14:paraId="6E66DD54" w14:textId="77777777" w:rsidR="00C7137B" w:rsidRDefault="00C7137B" w:rsidP="00C7137B">
          <w:pPr>
            <w:pStyle w:val="Footer"/>
            <w:jc w:val="right"/>
          </w:pPr>
          <w:r>
            <w:t>01/2020</w:t>
          </w:r>
        </w:p>
      </w:tc>
    </w:tr>
  </w:tbl>
  <w:p w14:paraId="3A01DC1B" w14:textId="77777777" w:rsidR="00C7137B" w:rsidRDefault="00C7137B" w:rsidP="00C71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FA4B6" w14:textId="77777777" w:rsidR="00FA5ED8" w:rsidRDefault="00FA5ED8" w:rsidP="00855614">
      <w:r>
        <w:separator/>
      </w:r>
    </w:p>
  </w:footnote>
  <w:footnote w:type="continuationSeparator" w:id="0">
    <w:p w14:paraId="32EBA364" w14:textId="77777777" w:rsidR="00FA5ED8" w:rsidRDefault="00FA5ED8" w:rsidP="00855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AC25B" w14:textId="2ACAFCC4" w:rsidR="00855614" w:rsidRPr="00C20B60" w:rsidRDefault="00193DBC" w:rsidP="003420F4">
    <w:pPr>
      <w:pStyle w:val="Heading1"/>
      <w:jc w:val="center"/>
    </w:pPr>
    <w:r w:rsidRPr="00C20B60">
      <w:t xml:space="preserve">QAPP Requirements </w:t>
    </w:r>
    <w:r>
      <w:t xml:space="preserve">for </w:t>
    </w:r>
    <w:r w:rsidR="00926E48">
      <w:t>Measurements and Monitoring</w:t>
    </w:r>
    <w:r w:rsidR="00AA2574">
      <w:t xml:space="preserve"> (Lab/Field)</w:t>
    </w:r>
  </w:p>
  <w:p w14:paraId="31EDBB71" w14:textId="77777777" w:rsidR="00855614" w:rsidRDefault="00855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8F6443"/>
    <w:multiLevelType w:val="hybridMultilevel"/>
    <w:tmpl w:val="1066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8948CC"/>
    <w:multiLevelType w:val="hybridMultilevel"/>
    <w:tmpl w:val="F402B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380D5A"/>
    <w:multiLevelType w:val="hybridMultilevel"/>
    <w:tmpl w:val="C51C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47E1FC7"/>
    <w:multiLevelType w:val="hybridMultilevel"/>
    <w:tmpl w:val="63B620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4"/>
  </w:num>
  <w:num w:numId="21">
    <w:abstractNumId w:val="20"/>
  </w:num>
  <w:num w:numId="22">
    <w:abstractNumId w:val="11"/>
  </w:num>
  <w:num w:numId="23">
    <w:abstractNumId w:val="26"/>
  </w:num>
  <w:num w:numId="24">
    <w:abstractNumId w:val="22"/>
  </w:num>
  <w:num w:numId="25">
    <w:abstractNumId w:val="17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0MjE3NzEyMzc2MjZV0lEKTi0uzszPAykwrQUA0vJmoywAAAA="/>
  </w:docVars>
  <w:rsids>
    <w:rsidRoot w:val="00C20B60"/>
    <w:rsid w:val="00006649"/>
    <w:rsid w:val="00020287"/>
    <w:rsid w:val="00047F01"/>
    <w:rsid w:val="00074FF2"/>
    <w:rsid w:val="000A5A5A"/>
    <w:rsid w:val="000A74C2"/>
    <w:rsid w:val="000D6AAA"/>
    <w:rsid w:val="000E03FA"/>
    <w:rsid w:val="001039E4"/>
    <w:rsid w:val="00130F89"/>
    <w:rsid w:val="00152C4C"/>
    <w:rsid w:val="00186AEC"/>
    <w:rsid w:val="00193DBC"/>
    <w:rsid w:val="001B1A25"/>
    <w:rsid w:val="001D1E5C"/>
    <w:rsid w:val="00210B46"/>
    <w:rsid w:val="00216A11"/>
    <w:rsid w:val="00236E36"/>
    <w:rsid w:val="002464EE"/>
    <w:rsid w:val="0026057C"/>
    <w:rsid w:val="002770E7"/>
    <w:rsid w:val="002A5F6C"/>
    <w:rsid w:val="002F71D8"/>
    <w:rsid w:val="0030639E"/>
    <w:rsid w:val="00327CE2"/>
    <w:rsid w:val="003410A1"/>
    <w:rsid w:val="003420F4"/>
    <w:rsid w:val="003757B7"/>
    <w:rsid w:val="00386BCA"/>
    <w:rsid w:val="00392A21"/>
    <w:rsid w:val="004215F0"/>
    <w:rsid w:val="00451A89"/>
    <w:rsid w:val="00452662"/>
    <w:rsid w:val="00467FF9"/>
    <w:rsid w:val="004801A6"/>
    <w:rsid w:val="004B35A5"/>
    <w:rsid w:val="004F5031"/>
    <w:rsid w:val="00512EA6"/>
    <w:rsid w:val="00571848"/>
    <w:rsid w:val="00590139"/>
    <w:rsid w:val="005A43C0"/>
    <w:rsid w:val="00603DD8"/>
    <w:rsid w:val="00606B2E"/>
    <w:rsid w:val="00616F32"/>
    <w:rsid w:val="00635F5A"/>
    <w:rsid w:val="00645252"/>
    <w:rsid w:val="00675F56"/>
    <w:rsid w:val="006C1D61"/>
    <w:rsid w:val="006D3D74"/>
    <w:rsid w:val="006E21E5"/>
    <w:rsid w:val="0072715B"/>
    <w:rsid w:val="0074014F"/>
    <w:rsid w:val="00746F54"/>
    <w:rsid w:val="007654DD"/>
    <w:rsid w:val="007C3B99"/>
    <w:rsid w:val="00812AE3"/>
    <w:rsid w:val="0082211F"/>
    <w:rsid w:val="008319D0"/>
    <w:rsid w:val="0083569A"/>
    <w:rsid w:val="00847DC6"/>
    <w:rsid w:val="00855614"/>
    <w:rsid w:val="008659DD"/>
    <w:rsid w:val="00883350"/>
    <w:rsid w:val="008B418B"/>
    <w:rsid w:val="008C5735"/>
    <w:rsid w:val="00911F0B"/>
    <w:rsid w:val="00926E48"/>
    <w:rsid w:val="0094576D"/>
    <w:rsid w:val="00960CE2"/>
    <w:rsid w:val="0098024C"/>
    <w:rsid w:val="009A3CD8"/>
    <w:rsid w:val="009D1F20"/>
    <w:rsid w:val="009E0707"/>
    <w:rsid w:val="00A040CE"/>
    <w:rsid w:val="00A72688"/>
    <w:rsid w:val="00A9204E"/>
    <w:rsid w:val="00AA0D78"/>
    <w:rsid w:val="00AA2152"/>
    <w:rsid w:val="00AA2574"/>
    <w:rsid w:val="00AE5A7D"/>
    <w:rsid w:val="00AF728A"/>
    <w:rsid w:val="00B31672"/>
    <w:rsid w:val="00B372C4"/>
    <w:rsid w:val="00B72D0F"/>
    <w:rsid w:val="00B73D82"/>
    <w:rsid w:val="00B83005"/>
    <w:rsid w:val="00B85A24"/>
    <w:rsid w:val="00B95033"/>
    <w:rsid w:val="00BA5321"/>
    <w:rsid w:val="00BA778C"/>
    <w:rsid w:val="00BD6C90"/>
    <w:rsid w:val="00BE0123"/>
    <w:rsid w:val="00BF37B4"/>
    <w:rsid w:val="00BF5C18"/>
    <w:rsid w:val="00BF7C1F"/>
    <w:rsid w:val="00C20B60"/>
    <w:rsid w:val="00C26849"/>
    <w:rsid w:val="00C7137B"/>
    <w:rsid w:val="00C94E79"/>
    <w:rsid w:val="00CC5927"/>
    <w:rsid w:val="00CD592F"/>
    <w:rsid w:val="00CD735D"/>
    <w:rsid w:val="00CD7920"/>
    <w:rsid w:val="00CE41A1"/>
    <w:rsid w:val="00D53393"/>
    <w:rsid w:val="00DA6095"/>
    <w:rsid w:val="00DA79FC"/>
    <w:rsid w:val="00DC0A6B"/>
    <w:rsid w:val="00E863D7"/>
    <w:rsid w:val="00E93761"/>
    <w:rsid w:val="00EC2EC5"/>
    <w:rsid w:val="00EC3A15"/>
    <w:rsid w:val="00EC4346"/>
    <w:rsid w:val="00EC633F"/>
    <w:rsid w:val="00EF6635"/>
    <w:rsid w:val="00F044E4"/>
    <w:rsid w:val="00F058F4"/>
    <w:rsid w:val="00F07AEC"/>
    <w:rsid w:val="00F11C8D"/>
    <w:rsid w:val="00F1205F"/>
    <w:rsid w:val="00F13FB2"/>
    <w:rsid w:val="00F30753"/>
    <w:rsid w:val="00F34673"/>
    <w:rsid w:val="00F41CC9"/>
    <w:rsid w:val="00F43B11"/>
    <w:rsid w:val="00F66937"/>
    <w:rsid w:val="00F83CCD"/>
    <w:rsid w:val="00F91E2E"/>
    <w:rsid w:val="00FA5ED8"/>
    <w:rsid w:val="00FB4298"/>
    <w:rsid w:val="00FB4EC8"/>
    <w:rsid w:val="00FC0B28"/>
    <w:rsid w:val="00FD750E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38A9"/>
  <w15:chartTrackingRefBased/>
  <w15:docId w15:val="{8590AC61-DB29-452A-8D17-A1CF3A45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C20B6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C20B60"/>
    <w:pPr>
      <w:spacing w:line="276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C20B60"/>
    <w:pPr>
      <w:spacing w:line="276" w:lineRule="atLeast"/>
    </w:pPr>
    <w:rPr>
      <w:color w:val="auto"/>
    </w:rPr>
  </w:style>
  <w:style w:type="paragraph" w:customStyle="1" w:styleId="CM1">
    <w:name w:val="CM1"/>
    <w:basedOn w:val="Default"/>
    <w:next w:val="Default"/>
    <w:uiPriority w:val="99"/>
    <w:rsid w:val="00C20B60"/>
    <w:rPr>
      <w:color w:val="auto"/>
    </w:rPr>
  </w:style>
  <w:style w:type="paragraph" w:customStyle="1" w:styleId="CM9">
    <w:name w:val="CM9"/>
    <w:basedOn w:val="Default"/>
    <w:next w:val="Default"/>
    <w:uiPriority w:val="99"/>
    <w:rsid w:val="00C20B60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C20B60"/>
    <w:rPr>
      <w:color w:val="auto"/>
    </w:rPr>
  </w:style>
  <w:style w:type="paragraph" w:styleId="ListParagraph">
    <w:name w:val="List Paragraph"/>
    <w:basedOn w:val="Normal"/>
    <w:uiPriority w:val="99"/>
    <w:unhideWhenUsed/>
    <w:qFormat/>
    <w:rsid w:val="00855614"/>
    <w:pPr>
      <w:ind w:left="720"/>
      <w:contextualSpacing/>
    </w:pPr>
  </w:style>
  <w:style w:type="table" w:styleId="TableGrid">
    <w:name w:val="Table Grid"/>
    <w:basedOn w:val="TableNormal"/>
    <w:uiPriority w:val="59"/>
    <w:rsid w:val="0085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epa.gov/sites/production/files/2015-06/documents/g5-final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erguso\AppData\Roaming\Microsoft\Templates\Single%20spaced%20(blank)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fa91fb-a0ff-4ac5-b2db-65c790d184a4"/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2019-04-22T16:44:14+00:00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_dlc_DocId xmlns="2fe5acc1-9310-4462-a44a-3cad32217294">SSYEHYHTR5TA-387811812-90</_dlc_DocId>
    <_dlc_DocIdUrl xmlns="2fe5acc1-9310-4462-a44a-3cad32217294">
      <Url>https://usepa.sharepoint.com/sites/ORD_Work/ORDQAPPs/_layouts/15/DocIdRedir.aspx?ID=SSYEHYHTR5TA-387811812-90</Url>
      <Description>SSYEHYHTR5TA-387811812-90</Description>
    </_dlc_DocIdUrl>
  </documentManagement>
</p:properti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BE003CA6C44395701D4F5424A87B" ma:contentTypeVersion="37" ma:contentTypeDescription="Create a new document." ma:contentTypeScope="" ma:versionID="1ce13489be15b279ddf0f03d703d2014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fe5acc1-9310-4462-a44a-3cad32217294" xmlns:ns6="394825aa-2b27-4c3b-90a3-d832ea98a71b" targetNamespace="http://schemas.microsoft.com/office/2006/metadata/properties" ma:root="true" ma:fieldsID="ea3705008de66864b92033a02792df6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fe5acc1-9310-4462-a44a-3cad32217294"/>
    <xsd:import namespace="394825aa-2b27-4c3b-90a3-d832ea98a7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_dlc_DocId" minOccurs="0"/>
                <xsd:element ref="ns5:_dlc_DocIdUrl" minOccurs="0"/>
                <xsd:element ref="ns5:_dlc_DocIdPersistId" minOccurs="0"/>
                <xsd:element ref="ns2:e3f09c3df709400db2417a7161762d62" minOccurs="0"/>
                <xsd:element ref="ns6:MediaServiceMetadata" minOccurs="0"/>
                <xsd:element ref="ns6:MediaServiceFastMetadata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e45b6655-e6a6-40d9-8e2b-c93e42c0dbf8}" ma:internalName="TaxCatchAllLabel" ma:readOnly="true" ma:showField="CatchAllDataLabel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e45b6655-e6a6-40d9-8e2b-c93e42c0dbf8}" ma:internalName="TaxCatchAll" ma:showField="CatchAllData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31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acc1-9310-4462-a44a-3cad32217294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825aa-2b27-4c3b-90a3-d832ea98a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0F34F-F0C1-45A5-9A72-DEC1DC60880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355FACC-D343-41EA-B029-B8B4BFD709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/fields"/>
    <ds:schemaRef ds:uri="http://schemas.microsoft.com/sharepoint/v3"/>
    <ds:schemaRef ds:uri="http://schemas.microsoft.com/sharepoint.v3"/>
    <ds:schemaRef ds:uri="2fe5acc1-9310-4462-a44a-3cad32217294"/>
  </ds:schemaRefs>
</ds:datastoreItem>
</file>

<file path=customXml/itemProps4.xml><?xml version="1.0" encoding="utf-8"?>
<ds:datastoreItem xmlns:ds="http://schemas.openxmlformats.org/officeDocument/2006/customXml" ds:itemID="{AA1BD885-3E82-4CC3-A151-D553FCC3D30D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CBCC2B6-7629-46CB-A620-A0AF4A96A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fe5acc1-9310-4462-a44a-3cad32217294"/>
    <ds:schemaRef ds:uri="394825aa-2b27-4c3b-90a3-d832ea98a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(blank)(4).dotx</Template>
  <TotalTime>189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Ferguson</dc:creator>
  <cp:keywords/>
  <dc:description/>
  <cp:lastModifiedBy>Jones, Steven</cp:lastModifiedBy>
  <cp:revision>84</cp:revision>
  <dcterms:created xsi:type="dcterms:W3CDTF">2019-12-30T16:14:00Z</dcterms:created>
  <dcterms:modified xsi:type="dcterms:W3CDTF">2020-01-06T20:53:00Z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0x010100FA17BE003CA6C44395701D4F5424A87B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_dlc_DocIdItemGuid">
    <vt:lpwstr>5ccbd853-1d49-40ec-b394-96dc1ffd87cb</vt:lpwstr>
  </property>
  <property fmtid="{D5CDD505-2E9C-101B-9397-08002B2CF9AE}" pid="9" name="TaxKeyword">
    <vt:lpwstr/>
  </property>
  <property fmtid="{D5CDD505-2E9C-101B-9397-08002B2CF9AE}" pid="10" name="EPA Subject">
    <vt:lpwstr/>
  </property>
  <property fmtid="{D5CDD505-2E9C-101B-9397-08002B2CF9AE}" pid="11" name="Document Type">
    <vt:lpwstr/>
  </property>
</Properties>
</file>