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>Rao Scott Adjustment</w:t>
      </w:r>
    </w:p>
    <w:p>
      <w:r>
        <w:rPr>
          <w:b/>
        </w:rPr>
        <w:t xml:space="preserve">Report generated: </w:t>
      </w:r>
      <w:r>
        <w:t>2025-Mar-11 10:03 UTC</w:t>
      </w:r>
    </w:p>
    <w:p>
      <w:r>
        <w:rPr>
          <w:b/>
        </w:rPr>
        <w:t xml:space="preserve">BMDS Online Version: </w:t>
      </w:r>
      <w:r>
        <w:t>25.1a1 (pybmds 25.1a1; bmdscore 24.1)</w:t>
      </w:r>
    </w:p>
    <w:p>
      <w:pPr>
        <w:pStyle w:val="Heading1"/>
      </w:pPr>
      <w:r>
        <w:t>Summary</w:t>
      </w:r>
    </w:p>
    <w:p>
      <w:r>
        <w:rPr>
          <w:b/>
        </w:rPr>
        <w:t xml:space="preserve">Species: </w:t>
      </w:r>
      <w:r>
        <w:t>Rat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pPr>
              <w:pStyle w:val="bmdsTblHeader"/>
            </w:pPr>
            <w:r>
              <w:t>Dose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N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Incidence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Fraction Affected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Design Effect (LS)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Design Effect (OR)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Design Effect (Average)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N (Rao Scott Adjusted)</w:t>
            </w:r>
          </w:p>
        </w:tc>
        <w:tc>
          <w:tcPr>
            <w:tcW w:type="dxa" w:w="1040"/>
          </w:tcPr>
          <w:p>
            <w:pPr>
              <w:pStyle w:val="bmdsTblHeader"/>
            </w:pPr>
            <w:r>
              <w:t>Incidence (Rao Scott Adjusted)</w:t>
            </w:r>
          </w:p>
        </w:tc>
      </w:tr>
      <w:tr>
        <w:tc>
          <w:tcPr>
            <w:tcW w:type="dxa" w:w="1040"/>
          </w:tcPr>
          <w:p>
            <w:pPr>
              <w:pStyle w:val="bmdsTblBody"/>
            </w:pPr>
            <w:r>
              <w:t>0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470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11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0.023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1.657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1.651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1.654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284.156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6.65</w:t>
            </w:r>
          </w:p>
        </w:tc>
      </w:tr>
      <w:tr>
        <w:tc>
          <w:tcPr>
            <w:tcW w:type="dxa" w:w="1040"/>
          </w:tcPr>
          <w:p>
            <w:pPr>
              <w:pStyle w:val="bmdsTblBody"/>
            </w:pPr>
            <w:r>
              <w:t>7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211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6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0.028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1.767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1.775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1.771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119.163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3.389</w:t>
            </w:r>
          </w:p>
        </w:tc>
      </w:tr>
      <w:tr>
        <w:tc>
          <w:tcPr>
            <w:tcW w:type="dxa" w:w="1040"/>
          </w:tcPr>
          <w:p>
            <w:pPr>
              <w:pStyle w:val="bmdsTblBody"/>
            </w:pPr>
            <w:r>
              <w:t>35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232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0.009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1.19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1.142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1.166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198.916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1.715</w:t>
            </w:r>
          </w:p>
        </w:tc>
      </w:tr>
      <w:tr>
        <w:tc>
          <w:tcPr>
            <w:tcW w:type="dxa" w:w="1040"/>
          </w:tcPr>
          <w:p>
            <w:pPr>
              <w:pStyle w:val="bmdsTblBody"/>
            </w:pPr>
            <w:r>
              <w:t>100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220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7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0.032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1.834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1.85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1.842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119.453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3.801</w:t>
            </w:r>
          </w:p>
        </w:tc>
      </w:tr>
      <w:tr>
        <w:tc>
          <w:tcPr>
            <w:tcW w:type="dxa" w:w="1040"/>
          </w:tcPr>
          <w:p>
            <w:pPr>
              <w:pStyle w:val="bmdsTblBody"/>
            </w:pPr>
            <w:r>
              <w:t>175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241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14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0.058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2.238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2.31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2.274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105.983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6.157</w:t>
            </w:r>
          </w:p>
        </w:tc>
      </w:tr>
      <w:tr>
        <w:tc>
          <w:tcPr>
            <w:tcW w:type="dxa" w:w="1040"/>
          </w:tcPr>
          <w:p>
            <w:pPr>
              <w:pStyle w:val="bmdsTblBody"/>
            </w:pPr>
            <w:r>
              <w:t>350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237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39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0.165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3.159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3.392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3.275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72.356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11.907</w:t>
            </w:r>
          </w:p>
        </w:tc>
      </w:tr>
      <w:tr>
        <w:tc>
          <w:tcPr>
            <w:tcW w:type="dxa" w:w="1040"/>
          </w:tcPr>
          <w:p>
            <w:pPr>
              <w:pStyle w:val="bmdsTblBody"/>
            </w:pPr>
            <w:r>
              <w:t>500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166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57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0.343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4.03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4.449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4.24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39.154</w:t>
            </w:r>
          </w:p>
        </w:tc>
        <w:tc>
          <w:tcPr>
            <w:tcW w:type="dxa" w:w="1040"/>
          </w:tcPr>
          <w:p>
            <w:pPr>
              <w:pStyle w:val="bmdsTblBody"/>
            </w:pPr>
            <w:r>
              <w:t>13.444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Rao Scott Adjustment Parameters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pStyle w:val="bmdsTblHeader"/>
            </w:pPr>
            <w:r>
              <w:t>Species</w:t>
            </w:r>
          </w:p>
        </w:tc>
        <w:tc>
          <w:tcPr>
            <w:tcW w:type="dxa" w:w="1872"/>
          </w:tcPr>
          <w:p>
            <w:pPr>
              <w:pStyle w:val="bmdsTblHeader"/>
            </w:pPr>
            <w:r>
              <w:t>Regression Method</w:t>
            </w:r>
          </w:p>
        </w:tc>
        <w:tc>
          <w:tcPr>
            <w:tcW w:type="dxa" w:w="1872"/>
          </w:tcPr>
          <w:p>
            <w:pPr>
              <w:pStyle w:val="bmdsTblHeader"/>
            </w:pPr>
            <w:r>
              <w:t>A</w:t>
            </w:r>
          </w:p>
        </w:tc>
        <w:tc>
          <w:tcPr>
            <w:tcW w:type="dxa" w:w="1872"/>
          </w:tcPr>
          <w:p>
            <w:pPr>
              <w:pStyle w:val="bmdsTblHeader"/>
            </w:pPr>
            <w:r>
              <w:t>b</w:t>
            </w:r>
          </w:p>
        </w:tc>
        <w:tc>
          <w:tcPr>
            <w:tcW w:type="dxa" w:w="1872"/>
          </w:tcPr>
          <w:p>
            <w:pPr>
              <w:pStyle w:val="bmdsTblHeader"/>
            </w:pPr>
            <w:r>
              <w:t>sigma</w:t>
            </w:r>
          </w:p>
        </w:tc>
      </w:tr>
      <w:tr>
        <w:tc>
          <w:tcPr>
            <w:tcW w:type="dxa" w:w="1872"/>
          </w:tcPr>
          <w:p>
            <w:pPr>
              <w:pStyle w:val="bmdsTblBody"/>
            </w:pPr>
            <w:r>
              <w:t>mouse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Least Squares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1.594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0.287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0.208</w:t>
            </w:r>
          </w:p>
        </w:tc>
      </w:tr>
      <w:tr>
        <w:tc>
          <w:tcPr>
            <w:tcW w:type="dxa" w:w="1872"/>
          </w:tcPr>
          <w:p>
            <w:pPr>
              <w:pStyle w:val="bmdsTblBody"/>
            </w:pPr>
            <w:r>
              <w:t>mouse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Orthogonal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1.694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0.313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0.186</w:t>
            </w:r>
          </w:p>
        </w:tc>
      </w:tr>
      <w:tr>
        <w:tc>
          <w:tcPr>
            <w:tcW w:type="dxa" w:w="1872"/>
          </w:tcPr>
          <w:p>
            <w:pPr>
              <w:pStyle w:val="bmdsTblBody"/>
            </w:pPr>
            <w:r>
              <w:t>rat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Least Squares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1.685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0.331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0.125</w:t>
            </w:r>
          </w:p>
        </w:tc>
      </w:tr>
      <w:tr>
        <w:tc>
          <w:tcPr>
            <w:tcW w:type="dxa" w:w="1872"/>
          </w:tcPr>
          <w:p>
            <w:pPr>
              <w:pStyle w:val="bmdsTblBody"/>
            </w:pPr>
            <w:r>
              <w:t>rat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Orthogonal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1.833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0.369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0.109</w:t>
            </w:r>
          </w:p>
        </w:tc>
      </w:tr>
      <w:tr>
        <w:tc>
          <w:tcPr>
            <w:tcW w:type="dxa" w:w="1872"/>
          </w:tcPr>
          <w:p>
            <w:pPr>
              <w:pStyle w:val="bmdsTblBody"/>
            </w:pPr>
            <w:r>
              <w:t>rabbit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Least Squares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1.058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0.24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0.145</w:t>
            </w:r>
          </w:p>
        </w:tc>
      </w:tr>
      <w:tr>
        <w:tc>
          <w:tcPr>
            <w:tcW w:type="dxa" w:w="1872"/>
          </w:tcPr>
          <w:p>
            <w:pPr>
              <w:pStyle w:val="bmdsTblBody"/>
            </w:pPr>
            <w:r>
              <w:t>rabbit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Orthogonal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1.148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0.274</w:t>
            </w:r>
          </w:p>
        </w:tc>
        <w:tc>
          <w:tcPr>
            <w:tcW w:type="dxa" w:w="1872"/>
          </w:tcPr>
          <w:p>
            <w:pPr>
              <w:pStyle w:val="bmdsTblBody"/>
            </w:pPr>
            <w:r>
              <w:t>0.13</w:t>
            </w:r>
          </w:p>
        </w:tc>
      </w:tr>
    </w:tbl>
    <w:p/>
    <w:p>
      <w:r>
        <w:t>Fox JF, Hogan KA, Davis A. Dose-Response Modeling with Summary Data from Developmental Toxicity Studies. Risk Anal. 2017 May;37(5):905-917. PMID: 27567129. DOI: 10.1111/risa.12667.</w:t>
      </w:r>
    </w:p>
    <w:sectPr w:rsidR="004F2CD1" w:rsidRPr="00EE3202" w:rsidSect="000D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189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EAA0B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3589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1D0DD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C4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22E7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736A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1181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2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D7CB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00B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6F"/>
    <w:rsid w:val="000B06CA"/>
    <w:rsid w:val="000D0EE1"/>
    <w:rsid w:val="00135BD3"/>
    <w:rsid w:val="00450E6F"/>
    <w:rsid w:val="004F2CD1"/>
    <w:rsid w:val="00501635"/>
    <w:rsid w:val="00607BE5"/>
    <w:rsid w:val="006E0BF6"/>
    <w:rsid w:val="008B104C"/>
    <w:rsid w:val="009538E5"/>
    <w:rsid w:val="0095691D"/>
    <w:rsid w:val="009A6B74"/>
    <w:rsid w:val="009E388A"/>
    <w:rsid w:val="00A262F0"/>
    <w:rsid w:val="00AD1F43"/>
    <w:rsid w:val="00B80167"/>
    <w:rsid w:val="00BA5CAD"/>
    <w:rsid w:val="00D255DB"/>
    <w:rsid w:val="00D916EC"/>
    <w:rsid w:val="00E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0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1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mdsTbl">
    <w:name w:val="bmdsTbl"/>
    <w:basedOn w:val="TableNormal"/>
    <w:uiPriority w:val="99"/>
    <w:rsid w:val="009538E5"/>
    <w:rPr>
      <w:rFonts w:ascii="Times New Roman" w:eastAsia="Droid Sans Fallback" w:hAnsi="Times New Roman" w:cs="Times New Roman"/>
      <w:sz w:val="18"/>
      <w:szCs w:val="18"/>
      <w:lang w:eastAsia="ja-JP"/>
    </w:rPr>
    <w:tblPr>
      <w:tblStyleRowBandSize w:val="1"/>
      <w:tblStyleColBandSize w:val="1"/>
      <w:tblInd w:w="0" w:type="dxa"/>
      <w:tblBorders>
        <w:top w:val="single" w:sz="4" w:space="0" w:color="D0CECE" w:themeColor="background2" w:themeShade="E6"/>
        <w:bottom w:val="single" w:sz="4" w:space="0" w:color="D0CECE" w:themeColor="background2" w:themeShade="E6"/>
        <w:insideH w:val="single" w:sz="4" w:space="0" w:color="D0CECE" w:themeColor="background2" w:themeShade="E6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left"/>
      </w:pPr>
      <w:rPr>
        <w:b w:val="0"/>
        <w:bCs/>
        <w:i w:val="0"/>
        <w:iCs w:val="0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1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1D"/>
    <w:rPr>
      <w:rFonts w:eastAsiaTheme="majorEastAsia" w:cstheme="majorBidi"/>
      <w:b/>
      <w:color w:val="000000" w:themeColor="text1"/>
    </w:rPr>
  </w:style>
  <w:style w:type="paragraph" w:customStyle="1" w:styleId="bmdsOutputFile">
    <w:name w:val="bmdsOutputFile"/>
    <w:basedOn w:val="Normal"/>
    <w:qFormat/>
    <w:rsid w:val="009E388A"/>
    <w:rPr>
      <w:rFonts w:ascii="Consolas" w:hAnsi="Consolas"/>
      <w:sz w:val="16"/>
    </w:rPr>
  </w:style>
  <w:style w:type="table" w:styleId="TableGrid">
    <w:name w:val="Table Grid"/>
    <w:basedOn w:val="TableNormal"/>
    <w:uiPriority w:val="39"/>
    <w:rsid w:val="00B8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dsTblHeader">
    <w:name w:val="bmdsTblHeader"/>
    <w:basedOn w:val="bmdsTblBody"/>
    <w:qFormat/>
    <w:rsid w:val="00D255DB"/>
    <w:rPr>
      <w:b/>
    </w:rPr>
  </w:style>
  <w:style w:type="paragraph" w:customStyle="1" w:styleId="bmdsTblBody">
    <w:name w:val="bmdsTblBody"/>
    <w:basedOn w:val="Normal"/>
    <w:qFormat/>
    <w:rsid w:val="00D255DB"/>
    <w:rPr>
      <w:rFonts w:ascii="Times New Roman" w:hAnsi="Times New Roman"/>
      <w:sz w:val="18"/>
    </w:rPr>
  </w:style>
  <w:style w:type="paragraph" w:customStyle="1" w:styleId="bmdsTblFootnote">
    <w:name w:val="bmdsTblFootnote"/>
    <w:basedOn w:val="bmdsTblBody"/>
    <w:qFormat/>
    <w:rsid w:val="00AD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Andy (NIH/NIEHS) [E]</dc:creator>
  <cp:keywords/>
  <dc:description/>
  <cp:lastModifiedBy>Shapiro, Andy (NIH/NIEHS) [E]</cp:lastModifiedBy>
  <cp:revision>16</cp:revision>
  <dcterms:created xsi:type="dcterms:W3CDTF">2017-06-20T16:20:00Z</dcterms:created>
  <dcterms:modified xsi:type="dcterms:W3CDTF">2017-06-20T20:56:00Z</dcterms:modified>
</cp:coreProperties>
</file>