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2023-04-17</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p>
      <w:pPr>
        <w:pStyle w:val="FirstParagraph"/>
      </w:pPr>
      <w:r>
        <w:t xml:space="preserve">EPA’s EJAM (Environmental Justice Analysis Multisite) tool was used to</w:t>
      </w:r>
      <w:r>
        <w:t xml:space="preserve"> </w:t>
      </w:r>
      <w:r>
        <w:t xml:space="preserve">develop this analysis. EPA’s</w:t>
      </w:r>
      <w:r>
        <w:t xml:space="preserve"> </w:t>
      </w:r>
      <w:hyperlink r:id="rId24">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 It</w:t>
      </w:r>
      <w:r>
        <w:t xml:space="preserve"> </w:t>
      </w:r>
      <w:r>
        <w:t xml:space="preserve">provides interactive results and a formatted, ready-to-share report with</w:t>
      </w:r>
      <w:r>
        <w:t xml:space="preserve"> </w:t>
      </w:r>
      <w:r>
        <w:t xml:space="preserve">written explanations of the results, tables, and graphics. The report</w:t>
      </w:r>
      <w:r>
        <w:t xml:space="preserve"> </w:t>
      </w:r>
      <w:r>
        <w:t xml:space="preserve">can provide EJ-related information about people who live in communities</w:t>
      </w:r>
      <w:r>
        <w:t xml:space="preserve"> </w:t>
      </w:r>
      <w:r>
        <w:t xml:space="preserve">near any of the industrial facilities on a list, for example.</w:t>
      </w:r>
    </w:p>
    <w:p>
      <w:pPr>
        <w:pStyle w:val="BodyText"/>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25">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26">
        <w:r>
          <w:rPr>
            <w:rStyle w:val="Hyperlink"/>
          </w:rPr>
          <w:t xml:space="preserve">EJScreen technical documentation</w:t>
        </w:r>
        <w:r>
          <w:rPr>
            <w:rStyle w:val="Hyperlink"/>
          </w:rPr>
          <w:t xml:space="preserve"> </w:t>
        </w:r>
        <w:r>
          <w:rPr>
            <w:rStyle w:val="Hyperlink"/>
          </w:rPr>
          <w:t xml:space="preserve">page</w:t>
        </w:r>
      </w:hyperlink>
      <w:r>
        <w:t xml:space="preserve">.</w:t>
      </w:r>
      <w:r>
        <w:t xml:space="preserve"> </w:t>
      </w:r>
      <w:r>
        <w:t xml:space="preserve">The only notable differences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Start w:id="27" w:name="selection-of-sites-analyzed"/>
    <w:p>
      <w:pPr>
        <w:pStyle w:val="Heading2"/>
      </w:pPr>
      <w:r>
        <w:rPr>
          <w:rStyle w:val="SectionNumber"/>
        </w:rPr>
        <w:t xml:space="preserve">3.1</w:t>
      </w:r>
      <w:r>
        <w:tab/>
      </w:r>
      <w:r>
        <w:t xml:space="preserve">Selection of sites analyzed</w:t>
      </w:r>
    </w:p>
    <w:p>
      <w:pPr>
        <w:pStyle w:val="FirstParagraph"/>
      </w:pPr>
      <w:r>
        <w:t xml:space="preserve">This analysis focused on locations NA, which</w:t>
      </w:r>
      <w:r>
        <w:t xml:space="preserve"> </w:t>
      </w:r>
      <w:r>
        <w:t xml:space="preserve">are the sites that may be affected by the proposal rule. The latitude</w:t>
      </w:r>
      <w:r>
        <w:t xml:space="preserve"> </w:t>
      </w:r>
      <w:r>
        <w:t xml:space="preserve">and longitude of a point representing each site was obtained from</w:t>
      </w:r>
      <w:r>
        <w:t xml:space="preserve"> </w:t>
      </w:r>
      <w:r>
        <w:t xml:space="preserve">NA. A total of NA sites had</w:t>
      </w:r>
      <w:r>
        <w:t xml:space="preserve"> </w:t>
      </w:r>
      <w:r>
        <w:t xml:space="preserve">location information and were analyzed.</w:t>
      </w:r>
    </w:p>
    <w:p>
      <w:pPr>
        <w:pStyle w:val="BodyText"/>
      </w:pPr>
      <w:r>
        <w:t xml:space="preserve">Figure</w:t>
      </w:r>
      <w:r>
        <w:t xml:space="preserve"> </w:t>
      </w:r>
      <w:r>
        <w:t xml:space="preserve"> </w:t>
      </w:r>
      <w:r>
        <w:t xml:space="preserve">shows a map of the sites analyzed.</w:t>
      </w:r>
    </w:p>
    <w:bookmarkEnd w:id="27"/>
    <w:bookmarkStart w:id="31" w:name="figure-map-of-analyzed-sites"/>
    <w:p>
      <w:pPr>
        <w:pStyle w:val="Heading2"/>
      </w:pPr>
      <w:r>
        <w:rPr>
          <w:rStyle w:val="SectionNumber"/>
        </w:rPr>
        <w:t xml:space="preserve">3.2</w:t>
      </w:r>
      <w:r>
        <w:tab/>
      </w:r>
      <w:r>
        <w:t xml:space="preserve">Figure</w:t>
      </w:r>
      <w:r>
        <w:t xml:space="preserve"> </w:t>
      </w:r>
      <w:r>
        <w:t xml:space="preserve"> </w:t>
      </w:r>
      <w:r>
        <w:t xml:space="preserve">Map of Analyzed Sites</w:t>
      </w:r>
    </w:p>
    <w:p>
      <w:pPr>
        <w:pStyle w:val="CaptionedFigure"/>
      </w:pPr>
      <w:r>
        <w:drawing>
          <wp:inline>
            <wp:extent cx="5334000" cy="2489200"/>
            <wp:effectExtent b="0" l="0" r="0" t="0"/>
            <wp:docPr descr="Map of Analyzed Sites" title="" id="29" name="Picture"/>
            <a:graphic>
              <a:graphicData uri="http://schemas.openxmlformats.org/drawingml/2006/picture">
                <pic:pic>
                  <pic:nvPicPr>
                    <pic:cNvPr descr="map_placeholder.png" id="30" name="Picture"/>
                    <pic:cNvPicPr>
                      <a:picLocks noChangeArrowheads="1" noChangeAspect="1"/>
                    </pic:cNvPicPr>
                  </pic:nvPicPr>
                  <pic:blipFill>
                    <a:blip r:embed="rId28"/>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Map of Analyzed Sites</w:t>
      </w:r>
    </w:p>
    <w:bookmarkEnd w:id="31"/>
    <w:bookmarkStart w:id="34" w:name="X724524685c6d548926445f80efff4a8cfc55b45"/>
    <w:p>
      <w:pPr>
        <w:pStyle w:val="Heading2"/>
      </w:pPr>
      <w:r>
        <w:rPr>
          <w:rStyle w:val="SectionNumber"/>
        </w:rPr>
        <w:t xml:space="preserve">3.3</w:t>
      </w:r>
      <w:r>
        <w:tab/>
      </w:r>
      <w:r>
        <w:t xml:space="preserve">Estimating locations and population counts of residents</w:t>
      </w:r>
    </w:p>
    <w:bookmarkStart w:id="32"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w:t>
      </w:r>
    </w:p>
    <w:p>
      <w:pPr>
        <w:pStyle w:val="BodyText"/>
      </w:pPr>
      <w:r>
        <w:t xml:space="preserve">See EJScreen methodology for details.</w:t>
      </w:r>
    </w:p>
    <w:bookmarkEnd w:id="32"/>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buffering method was the same as EJScreen’s method in principle,</w:t>
      </w:r>
      <w:r>
        <w:t xml:space="preserve"> </w:t>
      </w:r>
      <w:r>
        <w:t xml:space="preserve">i.e., Percent of each block group’s population that is estimated as</w:t>
      </w:r>
      <w:r>
        <w:t xml:space="preserve"> </w:t>
      </w:r>
      <w:r>
        <w:t xml:space="preserve">inside a buffer is based on which Census block internal points are</w:t>
      </w:r>
      <w:r>
        <w:t xml:space="preserve"> </w:t>
      </w:r>
      <w:r>
        <w:t xml:space="preserve">included in the buffer and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 slightly</w:t>
      </w:r>
      <w:r>
        <w:t xml:space="preserve"> </w:t>
      </w:r>
      <w:r>
        <w:t xml:space="preserve">different method was used to identify which block points are inside the</w:t>
      </w:r>
      <w:r>
        <w:t xml:space="preserve"> </w:t>
      </w:r>
      <w:r>
        <w:t xml:space="preserve">buffer than EJScreen uses, but results should be almost identical</w:t>
      </w:r>
      <w:r>
        <w:t xml:space="preserve"> </w:t>
      </w:r>
      <w:r>
        <w:t xml:space="preserve">[confirm this and clarify]</w:t>
      </w:r>
    </w:p>
    <w:p>
      <w:pPr>
        <w:pStyle w:val="BodyText"/>
      </w:pPr>
      <w:r>
        <w:t xml:space="preserve">See EJScreen methodology for details. EJAM finds nearby block points</w:t>
      </w:r>
      <w:r>
        <w:t xml:space="preserve"> </w:t>
      </w:r>
      <w:r>
        <w:t xml:space="preserve">using a very fast approach but otherwise uses the EJScreen method of</w:t>
      </w:r>
      <w:r>
        <w:t xml:space="preserve"> </w:t>
      </w:r>
      <w:r>
        <w:t xml:space="preserve">estimating nearby residential populations for proximity analysis.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p>
    <w:p>
      <w:pPr>
        <w:pStyle w:val="BodyText"/>
      </w:pP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discussion of table here</w:t>
      </w:r>
    </w:p>
    <w:p>
      <w:pPr>
        <w:pStyle w:val="BodyText"/>
      </w:pPr>
      <w:r>
        <w:t xml:space="preserve">discussion of table here</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3069049"/>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3069049"/>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 Sdf</w:t>
      </w:r>
    </w:p>
    <w:p>
      <w:pPr>
        <w:pStyle w:val="BodyText"/>
      </w:pPr>
      <w:r>
        <w:t xml:space="preserve">• Asdf</w:t>
      </w:r>
    </w:p>
    <w:p>
      <w:pPr>
        <w:pStyle w:val="BodyText"/>
      </w:pPr>
      <w:r>
        <w:t xml:space="preserve">• Asdf</w:t>
      </w:r>
    </w:p>
    <w:p>
      <w:pPr>
        <w:pStyle w:val="BodyText"/>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2843048"/>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2843048"/>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6"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uthor-contributions"/>
    <w:p>
      <w:pPr>
        <w:pStyle w:val="Heading2"/>
      </w:pPr>
      <w:r>
        <w:rPr>
          <w:rStyle w:val="SectionNumber"/>
        </w:rPr>
        <w:t xml:space="preserve">5.1</w:t>
      </w:r>
      <w:r>
        <w:tab/>
      </w:r>
      <w:r>
        <w:t xml:space="preserve">Author contributions</w:t>
      </w:r>
    </w:p>
    <w:p>
      <w:pPr>
        <w:pStyle w:val="FirstParagraph"/>
      </w:pPr>
      <w:r>
        <w:t xml:space="preserve">USEPA was responsible for planning this analysis and</w:t>
      </w:r>
      <w:r>
        <w:t xml:space="preserve"> </w:t>
      </w:r>
      <w:r>
        <w:t xml:space="preserve">defining the locations to be analyzed. USEPA was</w:t>
      </w:r>
      <w:r>
        <w:t xml:space="preserve"> </w:t>
      </w:r>
      <w:r>
        <w:t xml:space="preserve">responsible for completing the manuscript. All authors evaluated the</w:t>
      </w:r>
      <w:r>
        <w:t xml:space="preserve"> </w:t>
      </w:r>
      <w:r>
        <w:t xml:space="preserve">literature on previous relevant analyses. All authors contributed to the</w:t>
      </w:r>
      <w:r>
        <w:t xml:space="preserve"> </w:t>
      </w:r>
      <w:r>
        <w:t xml:space="preserve">writing and reviewing of the manuscript and agree on its contents.</w:t>
      </w:r>
    </w:p>
    <w:bookmarkEnd w:id="69"/>
    <w:bookmarkStart w:id="70" w:name="acknowledgements"/>
    <w:p>
      <w:pPr>
        <w:pStyle w:val="Heading2"/>
      </w:pPr>
      <w:r>
        <w:rPr>
          <w:rStyle w:val="SectionNumber"/>
        </w:rPr>
        <w:t xml:space="preserve">5.2</w:t>
      </w:r>
      <w:r>
        <w:tab/>
      </w:r>
      <w:r>
        <w:t xml:space="preserve">Acknowledgements</w:t>
      </w:r>
    </w:p>
    <w:p>
      <w:pPr>
        <w:pStyle w:val="FirstParagraph"/>
      </w:pPr>
      <w:r>
        <w:t xml:space="preserve">We thank ____ for helpful research assistance and ___ for</w:t>
      </w:r>
      <w:r>
        <w:t xml:space="preserve"> </w:t>
      </w:r>
      <w:r>
        <w:t xml:space="preserve">suggesting useful background literature.</w:t>
      </w:r>
    </w:p>
    <w:bookmarkEnd w:id="70"/>
    <w:bookmarkStart w:id="71" w:name="list-of-abbreviations"/>
    <w:p>
      <w:pPr>
        <w:pStyle w:val="Heading2"/>
      </w:pPr>
      <w:r>
        <w:rPr>
          <w:rStyle w:val="SectionNumber"/>
        </w:rPr>
        <w:t xml:space="preserve">5.3</w:t>
      </w:r>
      <w:r>
        <w:tab/>
      </w:r>
      <w:r>
        <w:t xml:space="preserve">List of Abbreviations</w:t>
      </w:r>
    </w:p>
    <w:p>
      <w:pPr>
        <w:numPr>
          <w:ilvl w:val="0"/>
          <w:numId w:val="1012"/>
        </w:numPr>
        <w:pStyle w:val="Compact"/>
      </w:pPr>
      <w:r>
        <w:t xml:space="preserve">AAAS American Association for the Advancement of Science</w:t>
      </w:r>
    </w:p>
    <w:p>
      <w:pPr>
        <w:numPr>
          <w:ilvl w:val="0"/>
          <w:numId w:val="1012"/>
        </w:numPr>
        <w:pStyle w:val="Compact"/>
      </w:pPr>
      <w:r>
        <w:t xml:space="preserve">ACS American Community Survey, Census Bureau</w:t>
      </w:r>
    </w:p>
    <w:p>
      <w:pPr>
        <w:numPr>
          <w:ilvl w:val="0"/>
          <w:numId w:val="1012"/>
        </w:numPr>
        <w:pStyle w:val="Compact"/>
      </w:pPr>
      <w:r>
        <w:t xml:space="preserve">AFO Animal Feeding Operation</w:t>
      </w:r>
    </w:p>
    <w:p>
      <w:pPr>
        <w:numPr>
          <w:ilvl w:val="0"/>
          <w:numId w:val="1012"/>
        </w:numPr>
        <w:pStyle w:val="Compact"/>
      </w:pPr>
      <w:r>
        <w:t xml:space="preserve">AirToxScreen The Air Toxics Screening Assessment, EPA screening tool</w:t>
      </w:r>
    </w:p>
    <w:p>
      <w:pPr>
        <w:numPr>
          <w:ilvl w:val="0"/>
          <w:numId w:val="1012"/>
        </w:numPr>
        <w:pStyle w:val="Compact"/>
      </w:pPr>
      <w:r>
        <w:t xml:space="preserve">ANPR/ ANPRM Advance Notice of Proposed Rule/Rulemaking</w:t>
      </w:r>
    </w:p>
    <w:p>
      <w:pPr>
        <w:numPr>
          <w:ilvl w:val="0"/>
          <w:numId w:val="1012"/>
        </w:numPr>
        <w:pStyle w:val="Compact"/>
      </w:pPr>
      <w:r>
        <w:t xml:space="preserve">AO Office of the Administrator, USEPA</w:t>
      </w:r>
    </w:p>
    <w:p>
      <w:pPr>
        <w:numPr>
          <w:ilvl w:val="0"/>
          <w:numId w:val="1012"/>
        </w:numPr>
        <w:pStyle w:val="Compact"/>
      </w:pPr>
      <w:r>
        <w:t xml:space="preserve">API American Petroleum Institute</w:t>
      </w:r>
    </w:p>
    <w:p>
      <w:pPr>
        <w:numPr>
          <w:ilvl w:val="0"/>
          <w:numId w:val="1012"/>
        </w:numPr>
        <w:pStyle w:val="Compact"/>
      </w:pPr>
      <w:r>
        <w:t xml:space="preserve">API Application Programming Interface; or American Petroleum</w:t>
      </w:r>
      <w:r>
        <w:t xml:space="preserve"> </w:t>
      </w:r>
      <w:r>
        <w:t xml:space="preserve">Institute</w:t>
      </w:r>
    </w:p>
    <w:p>
      <w:pPr>
        <w:numPr>
          <w:ilvl w:val="0"/>
          <w:numId w:val="1012"/>
        </w:numPr>
        <w:pStyle w:val="Compact"/>
      </w:pPr>
      <w:r>
        <w:t xml:space="preserve">AQI Air Quality Index</w:t>
      </w:r>
    </w:p>
    <w:p>
      <w:pPr>
        <w:numPr>
          <w:ilvl w:val="0"/>
          <w:numId w:val="1012"/>
        </w:numPr>
        <w:pStyle w:val="Compact"/>
      </w:pPr>
      <w:r>
        <w:t xml:space="preserve">ARP / ARPA American Rescue Plan Act</w:t>
      </w:r>
    </w:p>
    <w:p>
      <w:pPr>
        <w:numPr>
          <w:ilvl w:val="0"/>
          <w:numId w:val="1012"/>
        </w:numPr>
        <w:pStyle w:val="Compact"/>
      </w:pPr>
      <w:r>
        <w:t xml:space="preserve">BACT Best Available Control Technology</w:t>
      </w:r>
    </w:p>
    <w:p>
      <w:pPr>
        <w:numPr>
          <w:ilvl w:val="0"/>
          <w:numId w:val="1012"/>
        </w:numPr>
        <w:pStyle w:val="Compact"/>
      </w:pPr>
      <w:r>
        <w:t xml:space="preserve">Benmap (EPA criteria pollutants risk and benefit modeling tool)</w:t>
      </w:r>
    </w:p>
    <w:p>
      <w:pPr>
        <w:numPr>
          <w:ilvl w:val="0"/>
          <w:numId w:val="1012"/>
        </w:numPr>
        <w:pStyle w:val="Compact"/>
      </w:pPr>
      <w:r>
        <w:t xml:space="preserve">bg Census Block Group</w:t>
      </w:r>
    </w:p>
    <w:p>
      <w:pPr>
        <w:numPr>
          <w:ilvl w:val="0"/>
          <w:numId w:val="1012"/>
        </w:numPr>
        <w:pStyle w:val="Compact"/>
      </w:pPr>
      <w:r>
        <w:t xml:space="preserve">BR Biennial Report (under RCRA)</w:t>
      </w:r>
    </w:p>
    <w:p>
      <w:pPr>
        <w:numPr>
          <w:ilvl w:val="0"/>
          <w:numId w:val="1012"/>
        </w:numPr>
        <w:pStyle w:val="Compact"/>
      </w:pPr>
      <w:r>
        <w:t xml:space="preserve">CAA Clean Air Act</w:t>
      </w:r>
    </w:p>
    <w:p>
      <w:pPr>
        <w:numPr>
          <w:ilvl w:val="0"/>
          <w:numId w:val="1012"/>
        </w:numPr>
        <w:pStyle w:val="Compact"/>
      </w:pPr>
      <w:r>
        <w:t xml:space="preserve">CAFOs Concentrated Animal Feeding Operations</w:t>
      </w:r>
    </w:p>
    <w:p>
      <w:pPr>
        <w:numPr>
          <w:ilvl w:val="0"/>
          <w:numId w:val="1012"/>
        </w:numPr>
        <w:pStyle w:val="Compact"/>
      </w:pPr>
      <w:r>
        <w:t xml:space="preserve">CAMD Clean Air Markets Division, USEPA</w:t>
      </w:r>
    </w:p>
    <w:p>
      <w:pPr>
        <w:numPr>
          <w:ilvl w:val="0"/>
          <w:numId w:val="1012"/>
        </w:numPr>
        <w:pStyle w:val="Compact"/>
      </w:pPr>
      <w:r>
        <w:t xml:space="preserve">CARB California Air Resources Board</w:t>
      </w:r>
    </w:p>
    <w:p>
      <w:pPr>
        <w:numPr>
          <w:ilvl w:val="0"/>
          <w:numId w:val="1012"/>
        </w:numPr>
        <w:pStyle w:val="Compact"/>
      </w:pPr>
      <w:r>
        <w:t xml:space="preserve">CBG Census Block Group</w:t>
      </w:r>
    </w:p>
    <w:p>
      <w:pPr>
        <w:numPr>
          <w:ilvl w:val="0"/>
          <w:numId w:val="1012"/>
        </w:numPr>
        <w:pStyle w:val="Compact"/>
      </w:pPr>
      <w:r>
        <w:t xml:space="preserve">CDR Chemical Data Reporting (TSCA)</w:t>
      </w:r>
    </w:p>
    <w:p>
      <w:pPr>
        <w:numPr>
          <w:ilvl w:val="0"/>
          <w:numId w:val="1012"/>
        </w:numPr>
        <w:pStyle w:val="Compact"/>
      </w:pPr>
      <w:r>
        <w:t xml:space="preserve">CEQ Council on Environmental Quality, Executive Office of the</w:t>
      </w:r>
      <w:r>
        <w:t xml:space="preserve"> </w:t>
      </w:r>
      <w:r>
        <w:t xml:space="preserve">President</w:t>
      </w:r>
    </w:p>
    <w:p>
      <w:pPr>
        <w:numPr>
          <w:ilvl w:val="0"/>
          <w:numId w:val="1012"/>
        </w:numPr>
        <w:pStyle w:val="Compact"/>
      </w:pPr>
      <w:r>
        <w:t xml:space="preserve">CERCLA Comprehensive Environmental Response, Compensation, and</w:t>
      </w:r>
      <w:r>
        <w:t xml:space="preserve"> </w:t>
      </w:r>
      <w:r>
        <w:t xml:space="preserve">Liability Act / Superfund</w:t>
      </w:r>
    </w:p>
    <w:p>
      <w:pPr>
        <w:numPr>
          <w:ilvl w:val="0"/>
          <w:numId w:val="1012"/>
        </w:numPr>
        <w:pStyle w:val="Compact"/>
      </w:pPr>
      <w:r>
        <w:t xml:space="preserve">CFC Chlorofluorocarbon(s)</w:t>
      </w:r>
    </w:p>
    <w:p>
      <w:pPr>
        <w:numPr>
          <w:ilvl w:val="0"/>
          <w:numId w:val="1012"/>
        </w:numPr>
        <w:pStyle w:val="Compact"/>
      </w:pPr>
      <w:r>
        <w:t xml:space="preserve">CO Carbon Monoxide</w:t>
      </w:r>
    </w:p>
    <w:p>
      <w:pPr>
        <w:numPr>
          <w:ilvl w:val="0"/>
          <w:numId w:val="1012"/>
        </w:numPr>
        <w:pStyle w:val="Compact"/>
      </w:pPr>
      <w:r>
        <w:t xml:space="preserve">CPSC Consumer Product Safety Commission</w:t>
      </w:r>
    </w:p>
    <w:p>
      <w:pPr>
        <w:numPr>
          <w:ilvl w:val="0"/>
          <w:numId w:val="1012"/>
        </w:numPr>
        <w:pStyle w:val="Compact"/>
      </w:pPr>
      <w:r>
        <w:t xml:space="preserve">CRA Congressional Review Act</w:t>
      </w:r>
    </w:p>
    <w:p>
      <w:pPr>
        <w:numPr>
          <w:ilvl w:val="0"/>
          <w:numId w:val="1012"/>
        </w:numPr>
        <w:pStyle w:val="Compact"/>
      </w:pPr>
      <w:r>
        <w:t xml:space="preserve">CWA Clean Water Act</w:t>
      </w:r>
    </w:p>
    <w:p>
      <w:pPr>
        <w:numPr>
          <w:ilvl w:val="0"/>
          <w:numId w:val="1012"/>
        </w:numPr>
        <w:pStyle w:val="Compact"/>
      </w:pPr>
      <w:r>
        <w:t xml:space="preserve">DHS Department of Homeland Security</w:t>
      </w:r>
    </w:p>
    <w:p>
      <w:pPr>
        <w:numPr>
          <w:ilvl w:val="0"/>
          <w:numId w:val="1012"/>
        </w:numPr>
        <w:pStyle w:val="Compact"/>
      </w:pPr>
      <w:r>
        <w:t xml:space="preserve">DMR Discharge Monitoring Report (under CWA)</w:t>
      </w:r>
    </w:p>
    <w:p>
      <w:pPr>
        <w:numPr>
          <w:ilvl w:val="0"/>
          <w:numId w:val="1012"/>
        </w:numPr>
        <w:pStyle w:val="Compact"/>
      </w:pPr>
      <w:r>
        <w:t xml:space="preserve">DoD Department of Defense</w:t>
      </w:r>
    </w:p>
    <w:p>
      <w:pPr>
        <w:numPr>
          <w:ilvl w:val="0"/>
          <w:numId w:val="1012"/>
        </w:numPr>
        <w:pStyle w:val="Compact"/>
      </w:pPr>
      <w:r>
        <w:t xml:space="preserve">DOE Department of Energy</w:t>
      </w:r>
    </w:p>
    <w:p>
      <w:pPr>
        <w:numPr>
          <w:ilvl w:val="0"/>
          <w:numId w:val="1012"/>
        </w:numPr>
        <w:pStyle w:val="Compact"/>
      </w:pPr>
      <w:r>
        <w:t xml:space="preserve">DOT Department of Transportation</w:t>
      </w:r>
    </w:p>
    <w:p>
      <w:pPr>
        <w:numPr>
          <w:ilvl w:val="0"/>
          <w:numId w:val="1012"/>
        </w:numPr>
        <w:pStyle w:val="Compact"/>
      </w:pPr>
      <w:r>
        <w:t xml:space="preserve">dpm diesel particulate matter</w:t>
      </w:r>
    </w:p>
    <w:p>
      <w:pPr>
        <w:numPr>
          <w:ilvl w:val="0"/>
          <w:numId w:val="1012"/>
        </w:numPr>
        <w:pStyle w:val="Compact"/>
      </w:pPr>
      <w:r>
        <w:t xml:space="preserve">ECHO Enforcement and Compliance History Online, USEPA OECA</w:t>
      </w:r>
    </w:p>
    <w:p>
      <w:pPr>
        <w:numPr>
          <w:ilvl w:val="0"/>
          <w:numId w:val="1012"/>
        </w:numPr>
        <w:pStyle w:val="Compact"/>
      </w:pPr>
      <w:r>
        <w:t xml:space="preserve">EDGAR Electronic Data Gathering, Analysis, and Retrieval database</w:t>
      </w:r>
      <w:r>
        <w:t xml:space="preserve"> </w:t>
      </w:r>
      <w:r>
        <w:t xml:space="preserve">(SEC)</w:t>
      </w:r>
    </w:p>
    <w:p>
      <w:pPr>
        <w:numPr>
          <w:ilvl w:val="0"/>
          <w:numId w:val="1012"/>
        </w:numPr>
        <w:pStyle w:val="Compact"/>
      </w:pPr>
      <w:r>
        <w:t xml:space="preserve">EGU electricity generating unit in a power plant</w:t>
      </w:r>
    </w:p>
    <w:p>
      <w:pPr>
        <w:numPr>
          <w:ilvl w:val="0"/>
          <w:numId w:val="1012"/>
        </w:numPr>
        <w:pStyle w:val="Compact"/>
      </w:pPr>
      <w:r>
        <w:t xml:space="preserve">EJ Environmental Justice</w:t>
      </w:r>
    </w:p>
    <w:p>
      <w:pPr>
        <w:numPr>
          <w:ilvl w:val="0"/>
          <w:numId w:val="1012"/>
        </w:numPr>
        <w:pStyle w:val="Compact"/>
      </w:pPr>
      <w:r>
        <w:t xml:space="preserve">EJAM The Environmental Justice Analysis Multi-site tool developed by</w:t>
      </w:r>
      <w:r>
        <w:t xml:space="preserve"> </w:t>
      </w:r>
      <w:r>
        <w:t xml:space="preserve">USEPA</w:t>
      </w:r>
    </w:p>
    <w:p>
      <w:pPr>
        <w:numPr>
          <w:ilvl w:val="0"/>
          <w:numId w:val="1012"/>
        </w:numPr>
        <w:pStyle w:val="Compact"/>
      </w:pPr>
      <w:r>
        <w:t xml:space="preserve">EJScreen / EJSCREEN Environmental Justice Screening and mapping</w:t>
      </w:r>
      <w:r>
        <w:t xml:space="preserve"> </w:t>
      </w:r>
      <w:r>
        <w:t xml:space="preserve">tool, USEPA</w:t>
      </w:r>
    </w:p>
    <w:p>
      <w:pPr>
        <w:numPr>
          <w:ilvl w:val="0"/>
          <w:numId w:val="1012"/>
        </w:numPr>
        <w:pStyle w:val="Compact"/>
      </w:pPr>
      <w:r>
        <w:t xml:space="preserve">ELG effluent limitation guideline</w:t>
      </w:r>
    </w:p>
    <w:p>
      <w:pPr>
        <w:numPr>
          <w:ilvl w:val="0"/>
          <w:numId w:val="1012"/>
        </w:numPr>
        <w:pStyle w:val="Compact"/>
      </w:pPr>
      <w:r>
        <w:t xml:space="preserve">EO Executive Order</w:t>
      </w:r>
    </w:p>
    <w:p>
      <w:pPr>
        <w:numPr>
          <w:ilvl w:val="0"/>
          <w:numId w:val="1012"/>
        </w:numPr>
        <w:pStyle w:val="Compact"/>
      </w:pPr>
      <w:r>
        <w:t xml:space="preserve">EP313 EPCRA Section 313 (established TRI)</w:t>
      </w:r>
    </w:p>
    <w:p>
      <w:pPr>
        <w:numPr>
          <w:ilvl w:val="0"/>
          <w:numId w:val="1012"/>
        </w:numPr>
        <w:pStyle w:val="Compact"/>
      </w:pPr>
      <w:r>
        <w:t xml:space="preserve">EPA United States Environmental Protection Agency</w:t>
      </w:r>
    </w:p>
    <w:p>
      <w:pPr>
        <w:numPr>
          <w:ilvl w:val="0"/>
          <w:numId w:val="1012"/>
        </w:numPr>
        <w:pStyle w:val="Compact"/>
      </w:pPr>
      <w:r>
        <w:t xml:space="preserve">EPCRA Emergency Planning and Community Right-to-Know Act</w:t>
      </w:r>
    </w:p>
    <w:p>
      <w:pPr>
        <w:numPr>
          <w:ilvl w:val="0"/>
          <w:numId w:val="1012"/>
        </w:numPr>
        <w:pStyle w:val="Compact"/>
      </w:pPr>
      <w:r>
        <w:t xml:space="preserve">ERNS Emergency Response Notification System</w:t>
      </w:r>
    </w:p>
    <w:p>
      <w:pPr>
        <w:numPr>
          <w:ilvl w:val="0"/>
          <w:numId w:val="1012"/>
        </w:numPr>
        <w:pStyle w:val="Compact"/>
      </w:pPr>
      <w:r>
        <w:t xml:space="preserve">ESA Endangered Species Act</w:t>
      </w:r>
    </w:p>
    <w:p>
      <w:pPr>
        <w:numPr>
          <w:ilvl w:val="0"/>
          <w:numId w:val="1012"/>
        </w:numPr>
        <w:pStyle w:val="Compact"/>
      </w:pPr>
      <w:r>
        <w:t xml:space="preserve">FAA Federal Aviation Administration</w:t>
      </w:r>
    </w:p>
    <w:p>
      <w:pPr>
        <w:numPr>
          <w:ilvl w:val="0"/>
          <w:numId w:val="1012"/>
        </w:numPr>
        <w:pStyle w:val="Compact"/>
      </w:pPr>
      <w:r>
        <w:t xml:space="preserve">FAQ Frequently Asked Questions</w:t>
      </w:r>
    </w:p>
    <w:p>
      <w:pPr>
        <w:numPr>
          <w:ilvl w:val="0"/>
          <w:numId w:val="1012"/>
        </w:numPr>
        <w:pStyle w:val="Compact"/>
      </w:pPr>
      <w:r>
        <w:t xml:space="preserve">FDA Food and Drug Administration</w:t>
      </w:r>
    </w:p>
    <w:p>
      <w:pPr>
        <w:numPr>
          <w:ilvl w:val="0"/>
          <w:numId w:val="1012"/>
        </w:numPr>
        <w:pStyle w:val="Compact"/>
      </w:pPr>
      <w:r>
        <w:t xml:space="preserve">FESOP Federally Enforceable State Operating Permit (CAA program)</w:t>
      </w:r>
    </w:p>
    <w:p>
      <w:pPr>
        <w:numPr>
          <w:ilvl w:val="0"/>
          <w:numId w:val="1012"/>
        </w:numPr>
        <w:pStyle w:val="Compact"/>
      </w:pPr>
      <w:r>
        <w:t xml:space="preserve">FIFRA Federal Insecticide, Fungicide, and Rodenticide Act</w:t>
      </w:r>
    </w:p>
    <w:p>
      <w:pPr>
        <w:numPr>
          <w:ilvl w:val="0"/>
          <w:numId w:val="1012"/>
        </w:numPr>
        <w:pStyle w:val="Compact"/>
      </w:pPr>
      <w:r>
        <w:t xml:space="preserve">FIP Federal Implementation Plan (CAA program)</w:t>
      </w:r>
    </w:p>
    <w:p>
      <w:pPr>
        <w:numPr>
          <w:ilvl w:val="0"/>
          <w:numId w:val="1012"/>
        </w:numPr>
        <w:pStyle w:val="Compact"/>
      </w:pPr>
      <w:r>
        <w:t xml:space="preserve">FIPS Codes Federal Information Processing Standards codes for</w:t>
      </w:r>
      <w:r>
        <w:t xml:space="preserve"> </w:t>
      </w:r>
      <w:r>
        <w:t xml:space="preserve">geographic locations such as Census block groups</w:t>
      </w:r>
    </w:p>
    <w:p>
      <w:pPr>
        <w:numPr>
          <w:ilvl w:val="0"/>
          <w:numId w:val="1012"/>
        </w:numPr>
        <w:pStyle w:val="Compact"/>
      </w:pPr>
      <w:r>
        <w:t xml:space="preserve">FR, FRN Federal Register, FR Notice (but sometimes FR refers to a</w:t>
      </w:r>
      <w:r>
        <w:t xml:space="preserve"> </w:t>
      </w:r>
      <w:r>
        <w:t xml:space="preserve">Final Rule)</w:t>
      </w:r>
    </w:p>
    <w:p>
      <w:pPr>
        <w:numPr>
          <w:ilvl w:val="0"/>
          <w:numId w:val="1012"/>
        </w:numPr>
        <w:pStyle w:val="Compact"/>
      </w:pPr>
      <w:r>
        <w:t xml:space="preserve">FRS Facility Registry Service</w:t>
      </w:r>
    </w:p>
    <w:p>
      <w:pPr>
        <w:numPr>
          <w:ilvl w:val="0"/>
          <w:numId w:val="1012"/>
        </w:numPr>
        <w:pStyle w:val="Compact"/>
      </w:pPr>
      <w:r>
        <w:t xml:space="preserve">GACT Generally Available Control Technology</w:t>
      </w:r>
    </w:p>
    <w:p>
      <w:pPr>
        <w:numPr>
          <w:ilvl w:val="0"/>
          <w:numId w:val="1012"/>
        </w:numPr>
        <w:pStyle w:val="Compact"/>
      </w:pPr>
      <w:r>
        <w:t xml:space="preserve">GAO Government Accountability Office</w:t>
      </w:r>
    </w:p>
    <w:p>
      <w:pPr>
        <w:numPr>
          <w:ilvl w:val="0"/>
          <w:numId w:val="1012"/>
        </w:numPr>
        <w:pStyle w:val="Compact"/>
      </w:pPr>
      <w:r>
        <w:t xml:space="preserve">GHG greenhouse gas</w:t>
      </w:r>
    </w:p>
    <w:p>
      <w:pPr>
        <w:numPr>
          <w:ilvl w:val="0"/>
          <w:numId w:val="1012"/>
        </w:numPr>
        <w:pStyle w:val="Compact"/>
      </w:pPr>
      <w:r>
        <w:t xml:space="preserve">HAP hazardous air pollutant (air toxic)</w:t>
      </w:r>
    </w:p>
    <w:p>
      <w:pPr>
        <w:numPr>
          <w:ilvl w:val="0"/>
          <w:numId w:val="1012"/>
        </w:numPr>
        <w:pStyle w:val="Compact"/>
      </w:pPr>
      <w:r>
        <w:t xml:space="preserve">HHS / DHHS Department of Health and Human Services</w:t>
      </w:r>
    </w:p>
    <w:p>
      <w:pPr>
        <w:numPr>
          <w:ilvl w:val="0"/>
          <w:numId w:val="1012"/>
        </w:numPr>
        <w:pStyle w:val="Compact"/>
      </w:pPr>
      <w:r>
        <w:t xml:space="preserve">HI Hazard Index, for HAPs</w:t>
      </w:r>
    </w:p>
    <w:p>
      <w:pPr>
        <w:numPr>
          <w:ilvl w:val="0"/>
          <w:numId w:val="1012"/>
        </w:numPr>
        <w:pStyle w:val="Compact"/>
      </w:pPr>
      <w:r>
        <w:t xml:space="preserve">HPV High Priority Violation (under CAA; also see SNC)</w:t>
      </w:r>
    </w:p>
    <w:p>
      <w:pPr>
        <w:numPr>
          <w:ilvl w:val="0"/>
          <w:numId w:val="1012"/>
        </w:numPr>
        <w:pStyle w:val="Compact"/>
      </w:pPr>
      <w:r>
        <w:t xml:space="preserve">ICIS Integrated Compliance Information System</w:t>
      </w:r>
    </w:p>
    <w:p>
      <w:pPr>
        <w:numPr>
          <w:ilvl w:val="0"/>
          <w:numId w:val="1012"/>
        </w:numPr>
        <w:pStyle w:val="Compact"/>
      </w:pPr>
      <w:r>
        <w:t xml:space="preserve">ICR information collection request</w:t>
      </w:r>
    </w:p>
    <w:p>
      <w:pPr>
        <w:numPr>
          <w:ilvl w:val="0"/>
          <w:numId w:val="1012"/>
        </w:numPr>
        <w:pStyle w:val="Compact"/>
      </w:pPr>
      <w:r>
        <w:t xml:space="preserve">ID Identifier or Identification Number</w:t>
      </w:r>
    </w:p>
    <w:p>
      <w:pPr>
        <w:numPr>
          <w:ilvl w:val="0"/>
          <w:numId w:val="1012"/>
        </w:numPr>
        <w:pStyle w:val="Compact"/>
      </w:pPr>
      <w:r>
        <w:t xml:space="preserve">IRA Inflation Reduction Act</w:t>
      </w:r>
    </w:p>
    <w:p>
      <w:pPr>
        <w:numPr>
          <w:ilvl w:val="0"/>
          <w:numId w:val="1012"/>
        </w:numPr>
        <w:pStyle w:val="Compact"/>
      </w:pPr>
      <w:r>
        <w:t xml:space="preserve">IRIS Integrated Risk Information System</w:t>
      </w:r>
    </w:p>
    <w:p>
      <w:pPr>
        <w:numPr>
          <w:ilvl w:val="0"/>
          <w:numId w:val="1012"/>
        </w:numPr>
        <w:pStyle w:val="Compact"/>
      </w:pPr>
      <w:r>
        <w:t xml:space="preserve">LOEL lowest observable effect level</w:t>
      </w:r>
    </w:p>
    <w:p>
      <w:pPr>
        <w:numPr>
          <w:ilvl w:val="0"/>
          <w:numId w:val="1012"/>
        </w:numPr>
        <w:pStyle w:val="Compact"/>
      </w:pPr>
      <w:r>
        <w:t xml:space="preserve">LQG Large Quantity Generator (RCRA Hazardous Waste)</w:t>
      </w:r>
    </w:p>
    <w:p>
      <w:pPr>
        <w:numPr>
          <w:ilvl w:val="0"/>
          <w:numId w:val="1012"/>
        </w:numPr>
        <w:pStyle w:val="Compact"/>
      </w:pPr>
      <w:r>
        <w:t xml:space="preserve">MACT Maximum Achievable Control Technology (CAA program)</w:t>
      </w:r>
    </w:p>
    <w:p>
      <w:pPr>
        <w:numPr>
          <w:ilvl w:val="0"/>
          <w:numId w:val="1012"/>
        </w:numPr>
        <w:pStyle w:val="Compact"/>
      </w:pPr>
      <w:r>
        <w:t xml:space="preserve">MIR maximum individual risk</w:t>
      </w:r>
    </w:p>
    <w:p>
      <w:pPr>
        <w:numPr>
          <w:ilvl w:val="0"/>
          <w:numId w:val="1012"/>
        </w:numPr>
        <w:pStyle w:val="Compact"/>
      </w:pPr>
      <w:r>
        <w:t xml:space="preserve">NAAQS National Ambient Air Quality Standards (for criteria air</w:t>
      </w:r>
      <w:r>
        <w:t xml:space="preserve"> </w:t>
      </w:r>
      <w:r>
        <w:t xml:space="preserve">pollutants, CAA program)</w:t>
      </w:r>
    </w:p>
    <w:p>
      <w:pPr>
        <w:numPr>
          <w:ilvl w:val="0"/>
          <w:numId w:val="1012"/>
        </w:numPr>
        <w:pStyle w:val="Compact"/>
      </w:pPr>
      <w:r>
        <w:t xml:space="preserve">NAICS North American Industry Classification System</w:t>
      </w:r>
    </w:p>
    <w:p>
      <w:pPr>
        <w:numPr>
          <w:ilvl w:val="0"/>
          <w:numId w:val="1012"/>
        </w:numPr>
        <w:pStyle w:val="Compact"/>
      </w:pPr>
      <w:r>
        <w:t xml:space="preserve">NATA National Air Toxics Assessment, USEPA</w:t>
      </w:r>
    </w:p>
    <w:p>
      <w:pPr>
        <w:numPr>
          <w:ilvl w:val="0"/>
          <w:numId w:val="1012"/>
        </w:numPr>
        <w:pStyle w:val="Compact"/>
      </w:pPr>
      <w:r>
        <w:t xml:space="preserve">NCEE National Center for Environmental Economics, USEPA</w:t>
      </w:r>
    </w:p>
    <w:p>
      <w:pPr>
        <w:numPr>
          <w:ilvl w:val="0"/>
          <w:numId w:val="1012"/>
        </w:numPr>
        <w:pStyle w:val="Compact"/>
      </w:pPr>
      <w:r>
        <w:t xml:space="preserve">NDZ no discharge zone</w:t>
      </w:r>
    </w:p>
    <w:p>
      <w:pPr>
        <w:numPr>
          <w:ilvl w:val="0"/>
          <w:numId w:val="1012"/>
        </w:numPr>
        <w:pStyle w:val="Compact"/>
      </w:pPr>
      <w:r>
        <w:t xml:space="preserve">NEJAC EPA’s National Environmental Justice Advisory Council</w:t>
      </w:r>
    </w:p>
    <w:p>
      <w:pPr>
        <w:numPr>
          <w:ilvl w:val="0"/>
          <w:numId w:val="1012"/>
        </w:numPr>
        <w:pStyle w:val="Compact"/>
      </w:pPr>
      <w:r>
        <w:t xml:space="preserve">NESHAP National Emission Standards for Hazardous Air Pollutants (CAA</w:t>
      </w:r>
      <w:r>
        <w:t xml:space="preserve"> </w:t>
      </w:r>
      <w:r>
        <w:t xml:space="preserve">program)</w:t>
      </w:r>
    </w:p>
    <w:p>
      <w:pPr>
        <w:numPr>
          <w:ilvl w:val="0"/>
          <w:numId w:val="1012"/>
        </w:numPr>
        <w:pStyle w:val="Compact"/>
      </w:pPr>
      <w:r>
        <w:t xml:space="preserve">NEXUS analytic tool, USEPA/OAR</w:t>
      </w:r>
    </w:p>
    <w:p>
      <w:pPr>
        <w:numPr>
          <w:ilvl w:val="0"/>
          <w:numId w:val="1012"/>
        </w:numPr>
        <w:pStyle w:val="Compact"/>
      </w:pPr>
      <w:r>
        <w:t xml:space="preserve">NGO nongovernmental organization</w:t>
      </w:r>
    </w:p>
    <w:p>
      <w:pPr>
        <w:numPr>
          <w:ilvl w:val="0"/>
          <w:numId w:val="1012"/>
        </w:numPr>
        <w:pStyle w:val="Compact"/>
      </w:pPr>
      <w:r>
        <w:t xml:space="preserve">NHTSA National Highway Traffic Safety Administration</w:t>
      </w:r>
    </w:p>
    <w:p>
      <w:pPr>
        <w:numPr>
          <w:ilvl w:val="0"/>
          <w:numId w:val="1012"/>
        </w:numPr>
        <w:pStyle w:val="Compact"/>
      </w:pPr>
      <w:r>
        <w:t xml:space="preserve">NOAA National Oceanic and Atmospheric Administration</w:t>
      </w:r>
    </w:p>
    <w:p>
      <w:pPr>
        <w:numPr>
          <w:ilvl w:val="0"/>
          <w:numId w:val="1012"/>
        </w:numPr>
        <w:pStyle w:val="Compact"/>
      </w:pPr>
      <w:r>
        <w:t xml:space="preserve">NOEL no observable effect level</w:t>
      </w:r>
    </w:p>
    <w:p>
      <w:pPr>
        <w:numPr>
          <w:ilvl w:val="0"/>
          <w:numId w:val="1012"/>
        </w:numPr>
        <w:pStyle w:val="Compact"/>
      </w:pPr>
      <w:r>
        <w:t xml:space="preserve">NOV Notice of Violation</w:t>
      </w:r>
    </w:p>
    <w:p>
      <w:pPr>
        <w:numPr>
          <w:ilvl w:val="0"/>
          <w:numId w:val="1012"/>
        </w:numPr>
        <w:pStyle w:val="Compact"/>
      </w:pPr>
      <w:r>
        <w:t xml:space="preserve">NOx Nitrogen Oxides</w:t>
      </w:r>
    </w:p>
    <w:p>
      <w:pPr>
        <w:numPr>
          <w:ilvl w:val="0"/>
          <w:numId w:val="1012"/>
        </w:numPr>
        <w:pStyle w:val="Compact"/>
      </w:pPr>
      <w:r>
        <w:t xml:space="preserve">NPDES National Pollutant Discharge Elimination System (CWA permit</w:t>
      </w:r>
      <w:r>
        <w:t xml:space="preserve"> </w:t>
      </w:r>
      <w:r>
        <w:t xml:space="preserve">program)</w:t>
      </w:r>
    </w:p>
    <w:p>
      <w:pPr>
        <w:numPr>
          <w:ilvl w:val="0"/>
          <w:numId w:val="1012"/>
        </w:numPr>
        <w:pStyle w:val="Compact"/>
      </w:pPr>
      <w:r>
        <w:t xml:space="preserve">NPL National Priority List (related to Superfund)</w:t>
      </w:r>
    </w:p>
    <w:p>
      <w:pPr>
        <w:numPr>
          <w:ilvl w:val="0"/>
          <w:numId w:val="1012"/>
        </w:numPr>
        <w:pStyle w:val="Compact"/>
      </w:pPr>
      <w:r>
        <w:t xml:space="preserve">NRPM Notice of Proposed Rulemaking, or proposed rule or proposal</w:t>
      </w:r>
    </w:p>
    <w:p>
      <w:pPr>
        <w:numPr>
          <w:ilvl w:val="0"/>
          <w:numId w:val="1012"/>
        </w:numPr>
        <w:pStyle w:val="Compact"/>
      </w:pPr>
      <w:r>
        <w:t xml:space="preserve">NSPS New Source Performance Standards (CAA program)</w:t>
      </w:r>
    </w:p>
    <w:p>
      <w:pPr>
        <w:numPr>
          <w:ilvl w:val="0"/>
          <w:numId w:val="1012"/>
        </w:numPr>
        <w:pStyle w:val="Compact"/>
      </w:pPr>
      <w:r>
        <w:t xml:space="preserve">NSR New Source Review (CAA program)</w:t>
      </w:r>
    </w:p>
    <w:p>
      <w:pPr>
        <w:numPr>
          <w:ilvl w:val="0"/>
          <w:numId w:val="1012"/>
        </w:numPr>
        <w:pStyle w:val="Compact"/>
      </w:pPr>
      <w:r>
        <w:t xml:space="preserve">O3 ozone</w:t>
      </w:r>
    </w:p>
    <w:p>
      <w:pPr>
        <w:numPr>
          <w:ilvl w:val="0"/>
          <w:numId w:val="1012"/>
        </w:numPr>
        <w:pStyle w:val="Compact"/>
      </w:pPr>
      <w:r>
        <w:t xml:space="preserve">OA Office of the Administrator, USEPA</w:t>
      </w:r>
    </w:p>
    <w:p>
      <w:pPr>
        <w:numPr>
          <w:ilvl w:val="0"/>
          <w:numId w:val="1012"/>
        </w:numPr>
        <w:pStyle w:val="Compact"/>
      </w:pPr>
      <w:r>
        <w:t xml:space="preserve">OAR Office of Air and Radiation, USEPA</w:t>
      </w:r>
    </w:p>
    <w:p>
      <w:pPr>
        <w:numPr>
          <w:ilvl w:val="0"/>
          <w:numId w:val="1012"/>
        </w:numPr>
        <w:pStyle w:val="Compact"/>
      </w:pPr>
      <w:r>
        <w:t xml:space="preserve">OCHP Office of Children’s Health Protection, USEPA</w:t>
      </w:r>
    </w:p>
    <w:p>
      <w:pPr>
        <w:numPr>
          <w:ilvl w:val="0"/>
          <w:numId w:val="1012"/>
        </w:numPr>
        <w:pStyle w:val="Compact"/>
      </w:pPr>
      <w:r>
        <w:t xml:space="preserve">OCIR Office of Congressional and Intergovernmental Relations, USEPA</w:t>
      </w:r>
    </w:p>
    <w:p>
      <w:pPr>
        <w:numPr>
          <w:ilvl w:val="0"/>
          <w:numId w:val="1012"/>
        </w:numPr>
        <w:pStyle w:val="Compact"/>
      </w:pPr>
      <w:r>
        <w:t xml:space="preserve">OCSPP Office of Chemical Safety and Pollution Prevention, USEPA</w:t>
      </w:r>
    </w:p>
    <w:p>
      <w:pPr>
        <w:numPr>
          <w:ilvl w:val="0"/>
          <w:numId w:val="1012"/>
        </w:numPr>
        <w:pStyle w:val="Compact"/>
      </w:pPr>
      <w:r>
        <w:t xml:space="preserve">OECA Office of Enforcement and Compliance Assurance, USEPA</w:t>
      </w:r>
    </w:p>
    <w:p>
      <w:pPr>
        <w:numPr>
          <w:ilvl w:val="0"/>
          <w:numId w:val="1012"/>
        </w:numPr>
        <w:pStyle w:val="Compact"/>
      </w:pPr>
      <w:r>
        <w:t xml:space="preserve">OEI Office of Environmental Information, USEPA</w:t>
      </w:r>
    </w:p>
    <w:p>
      <w:pPr>
        <w:numPr>
          <w:ilvl w:val="0"/>
          <w:numId w:val="1012"/>
        </w:numPr>
        <w:pStyle w:val="Compact"/>
      </w:pPr>
      <w:r>
        <w:t xml:space="preserve">OEJ Office of Environmental Justice, USEPA</w:t>
      </w:r>
    </w:p>
    <w:p>
      <w:pPr>
        <w:numPr>
          <w:ilvl w:val="0"/>
          <w:numId w:val="1012"/>
        </w:numPr>
        <w:pStyle w:val="Compact"/>
      </w:pPr>
      <w:r>
        <w:t xml:space="preserve">OGC Office of General Counsel, USEPA</w:t>
      </w:r>
    </w:p>
    <w:p>
      <w:pPr>
        <w:numPr>
          <w:ilvl w:val="0"/>
          <w:numId w:val="1012"/>
        </w:numPr>
        <w:pStyle w:val="Compact"/>
      </w:pPr>
      <w:r>
        <w:t xml:space="preserve">OGWDW Office of Ground Water and Drinking Water, USEPA</w:t>
      </w:r>
    </w:p>
    <w:p>
      <w:pPr>
        <w:numPr>
          <w:ilvl w:val="0"/>
          <w:numId w:val="1012"/>
        </w:numPr>
        <w:pStyle w:val="Compact"/>
      </w:pPr>
      <w:r>
        <w:t xml:space="preserve">OIG / IG Office of Inspector General / Inspector General, USEPA</w:t>
      </w:r>
    </w:p>
    <w:p>
      <w:pPr>
        <w:numPr>
          <w:ilvl w:val="0"/>
          <w:numId w:val="1012"/>
        </w:numPr>
        <w:pStyle w:val="Compact"/>
      </w:pPr>
      <w:r>
        <w:t xml:space="preserve">OIRA Office of Information and Regulatory Affairs, OMB</w:t>
      </w:r>
    </w:p>
    <w:p>
      <w:pPr>
        <w:numPr>
          <w:ilvl w:val="0"/>
          <w:numId w:val="1012"/>
        </w:numPr>
        <w:pStyle w:val="Compact"/>
      </w:pPr>
      <w:r>
        <w:t xml:space="preserve">OITA Office of International and Tribal Affairs, USEPA</w:t>
      </w:r>
    </w:p>
    <w:p>
      <w:pPr>
        <w:numPr>
          <w:ilvl w:val="0"/>
          <w:numId w:val="1012"/>
        </w:numPr>
        <w:pStyle w:val="Compact"/>
      </w:pPr>
      <w:r>
        <w:t xml:space="preserve">OLEM Office of Land and Emergency Management, USEPA</w:t>
      </w:r>
    </w:p>
    <w:p>
      <w:pPr>
        <w:numPr>
          <w:ilvl w:val="0"/>
          <w:numId w:val="1012"/>
        </w:numPr>
        <w:pStyle w:val="Compact"/>
      </w:pPr>
      <w:r>
        <w:t xml:space="preserve">OMB Office of Management and Budget</w:t>
      </w:r>
    </w:p>
    <w:p>
      <w:pPr>
        <w:numPr>
          <w:ilvl w:val="0"/>
          <w:numId w:val="1012"/>
        </w:numPr>
        <w:pStyle w:val="Compact"/>
      </w:pPr>
      <w:r>
        <w:t xml:space="preserve">OMS Office of Mission Services, USEPA</w:t>
      </w:r>
    </w:p>
    <w:p>
      <w:pPr>
        <w:numPr>
          <w:ilvl w:val="0"/>
          <w:numId w:val="1012"/>
        </w:numPr>
        <w:pStyle w:val="Compact"/>
      </w:pPr>
      <w:r>
        <w:t xml:space="preserve">OMS Office of Mission Support, USEPA</w:t>
      </w:r>
    </w:p>
    <w:p>
      <w:pPr>
        <w:numPr>
          <w:ilvl w:val="0"/>
          <w:numId w:val="1012"/>
        </w:numPr>
        <w:pStyle w:val="Compact"/>
      </w:pPr>
      <w:r>
        <w:t xml:space="preserve">OP Office of Policy, or the Policy Office, USEPA</w:t>
      </w:r>
    </w:p>
    <w:p>
      <w:pPr>
        <w:numPr>
          <w:ilvl w:val="0"/>
          <w:numId w:val="1012"/>
        </w:numPr>
        <w:pStyle w:val="Compact"/>
      </w:pPr>
      <w:r>
        <w:t xml:space="preserve">ORD Office of Research and Development, USEPA</w:t>
      </w:r>
    </w:p>
    <w:p>
      <w:pPr>
        <w:numPr>
          <w:ilvl w:val="0"/>
          <w:numId w:val="1012"/>
        </w:numPr>
        <w:pStyle w:val="Compact"/>
      </w:pPr>
      <w:r>
        <w:t xml:space="preserve">ORPM Office of Regulatory Policy and Management, USEPA</w:t>
      </w:r>
    </w:p>
    <w:p>
      <w:pPr>
        <w:numPr>
          <w:ilvl w:val="0"/>
          <w:numId w:val="1012"/>
        </w:numPr>
        <w:pStyle w:val="Compact"/>
      </w:pPr>
      <w:r>
        <w:t xml:space="preserve">OSA Office of Science Advisor, USEPA</w:t>
      </w:r>
    </w:p>
    <w:p>
      <w:pPr>
        <w:numPr>
          <w:ilvl w:val="0"/>
          <w:numId w:val="1012"/>
        </w:numPr>
        <w:pStyle w:val="Compact"/>
      </w:pPr>
      <w:r>
        <w:t xml:space="preserve">OSHA Occupational Safety and Health Administration</w:t>
      </w:r>
    </w:p>
    <w:p>
      <w:pPr>
        <w:numPr>
          <w:ilvl w:val="0"/>
          <w:numId w:val="1012"/>
        </w:numPr>
        <w:pStyle w:val="Compact"/>
      </w:pPr>
      <w:r>
        <w:t xml:space="preserve">OTAQ Office of Transportation Air Quality, USEPA</w:t>
      </w:r>
    </w:p>
    <w:p>
      <w:pPr>
        <w:numPr>
          <w:ilvl w:val="0"/>
          <w:numId w:val="1012"/>
        </w:numPr>
        <w:pStyle w:val="Compact"/>
      </w:pPr>
      <w:r>
        <w:t xml:space="preserve">OW Office of Water, USEPA</w:t>
      </w:r>
    </w:p>
    <w:p>
      <w:pPr>
        <w:numPr>
          <w:ilvl w:val="0"/>
          <w:numId w:val="1012"/>
        </w:numPr>
        <w:pStyle w:val="Compact"/>
      </w:pPr>
      <w:r>
        <w:t xml:space="preserve">OWOW Office of Wetlands, Oceans and Watersheds, USEPA</w:t>
      </w:r>
    </w:p>
    <w:p>
      <w:pPr>
        <w:numPr>
          <w:ilvl w:val="0"/>
          <w:numId w:val="1012"/>
        </w:numPr>
        <w:pStyle w:val="Compact"/>
      </w:pPr>
      <w:r>
        <w:t xml:space="preserve">Pb lead</w:t>
      </w:r>
    </w:p>
    <w:p>
      <w:pPr>
        <w:numPr>
          <w:ilvl w:val="0"/>
          <w:numId w:val="1012"/>
        </w:numPr>
        <w:pStyle w:val="Compact"/>
      </w:pPr>
      <w:r>
        <w:t xml:space="preserve">PCE Partial Compliance Evaluation</w:t>
      </w:r>
    </w:p>
    <w:p>
      <w:pPr>
        <w:numPr>
          <w:ilvl w:val="0"/>
          <w:numId w:val="1012"/>
        </w:numPr>
        <w:pStyle w:val="Compact"/>
      </w:pPr>
      <w:r>
        <w:t xml:space="preserve">PEL Permissible Exposure Limits</w:t>
      </w:r>
    </w:p>
    <w:p>
      <w:pPr>
        <w:numPr>
          <w:ilvl w:val="0"/>
          <w:numId w:val="1012"/>
        </w:numPr>
        <w:pStyle w:val="Compact"/>
      </w:pPr>
      <w:r>
        <w:t xml:space="preserve">PFAS, e.g., PFOS, PFOA Per- and polyfloroalkyl substances (PFOS and</w:t>
      </w:r>
      <w:r>
        <w:t xml:space="preserve"> </w:t>
      </w:r>
      <w:r>
        <w:t xml:space="preserve">PFOA are the 8-carbon PFAS)</w:t>
      </w:r>
    </w:p>
    <w:p>
      <w:pPr>
        <w:numPr>
          <w:ilvl w:val="0"/>
          <w:numId w:val="1012"/>
        </w:numPr>
        <w:pStyle w:val="Compact"/>
      </w:pPr>
      <w:r>
        <w:t xml:space="preserve">PM, PM2.5, PM10 Particulate Matter</w:t>
      </w:r>
    </w:p>
    <w:p>
      <w:pPr>
        <w:numPr>
          <w:ilvl w:val="0"/>
          <w:numId w:val="1012"/>
        </w:numPr>
        <w:pStyle w:val="Compact"/>
      </w:pPr>
      <w:r>
        <w:t xml:space="preserve">POC people of color</w:t>
      </w:r>
    </w:p>
    <w:p>
      <w:pPr>
        <w:numPr>
          <w:ilvl w:val="0"/>
          <w:numId w:val="1012"/>
        </w:numPr>
        <w:pStyle w:val="Compact"/>
      </w:pPr>
      <w:r>
        <w:t xml:space="preserve">POTWs Publicly Owned Treatment Works</w:t>
      </w:r>
    </w:p>
    <w:p>
      <w:pPr>
        <w:numPr>
          <w:ilvl w:val="0"/>
          <w:numId w:val="1012"/>
        </w:numPr>
        <w:pStyle w:val="Compact"/>
      </w:pPr>
      <w:r>
        <w:t xml:space="preserve">PRA Paperwork Reduction Act</w:t>
      </w:r>
    </w:p>
    <w:p>
      <w:pPr>
        <w:numPr>
          <w:ilvl w:val="0"/>
          <w:numId w:val="1012"/>
        </w:numPr>
        <w:pStyle w:val="Compact"/>
      </w:pPr>
      <w:r>
        <w:t xml:space="preserve">PSD Prevention of Significant Deterioration (CAA program)</w:t>
      </w:r>
    </w:p>
    <w:p>
      <w:pPr>
        <w:numPr>
          <w:ilvl w:val="0"/>
          <w:numId w:val="1012"/>
        </w:numPr>
        <w:pStyle w:val="Compact"/>
      </w:pPr>
      <w:r>
        <w:t xml:space="preserve">QNCR Quarterly Noncompliance Report (under CWA)</w:t>
      </w:r>
    </w:p>
    <w:p>
      <w:pPr>
        <w:numPr>
          <w:ilvl w:val="0"/>
          <w:numId w:val="1012"/>
        </w:numPr>
        <w:pStyle w:val="Compact"/>
      </w:pPr>
      <w:r>
        <w:t xml:space="preserve">RCRA Resource Conservation and Recovery Act</w:t>
      </w:r>
    </w:p>
    <w:p>
      <w:pPr>
        <w:numPr>
          <w:ilvl w:val="0"/>
          <w:numId w:val="1012"/>
        </w:numPr>
        <w:pStyle w:val="Compact"/>
      </w:pPr>
      <w:r>
        <w:t xml:space="preserve">RCRAInfo Resource Conservation and Recovery Act Information System</w:t>
      </w:r>
    </w:p>
    <w:p>
      <w:pPr>
        <w:numPr>
          <w:ilvl w:val="0"/>
          <w:numId w:val="1012"/>
        </w:numPr>
        <w:pStyle w:val="Compact"/>
      </w:pPr>
      <w:r>
        <w:t xml:space="preserve">RE Risk Evaluation</w:t>
      </w:r>
    </w:p>
    <w:p>
      <w:pPr>
        <w:numPr>
          <w:ilvl w:val="0"/>
          <w:numId w:val="1012"/>
        </w:numPr>
        <w:pStyle w:val="Compact"/>
      </w:pPr>
      <w:r>
        <w:t xml:space="preserve">REL Reference Exposure Level</w:t>
      </w:r>
    </w:p>
    <w:p>
      <w:pPr>
        <w:numPr>
          <w:ilvl w:val="0"/>
          <w:numId w:val="1012"/>
        </w:numPr>
        <w:pStyle w:val="Compact"/>
      </w:pPr>
      <w:r>
        <w:t xml:space="preserve">RFA reg. Flex analysis or request for applications</w:t>
      </w:r>
    </w:p>
    <w:p>
      <w:pPr>
        <w:numPr>
          <w:ilvl w:val="0"/>
          <w:numId w:val="1012"/>
        </w:numPr>
        <w:pStyle w:val="Compact"/>
      </w:pPr>
      <w:r>
        <w:t xml:space="preserve">RfC reference concentration (toxicology)</w:t>
      </w:r>
    </w:p>
    <w:p>
      <w:pPr>
        <w:numPr>
          <w:ilvl w:val="0"/>
          <w:numId w:val="1012"/>
        </w:numPr>
        <w:pStyle w:val="Compact"/>
      </w:pPr>
      <w:r>
        <w:t xml:space="preserve">RfD reference dose (toxicology)</w:t>
      </w:r>
    </w:p>
    <w:p>
      <w:pPr>
        <w:numPr>
          <w:ilvl w:val="0"/>
          <w:numId w:val="1012"/>
        </w:numPr>
        <w:pStyle w:val="Compact"/>
      </w:pPr>
      <w:r>
        <w:t xml:space="preserve">RFF Resources for the Future</w:t>
      </w:r>
    </w:p>
    <w:p>
      <w:pPr>
        <w:numPr>
          <w:ilvl w:val="0"/>
          <w:numId w:val="1012"/>
        </w:numPr>
        <w:pStyle w:val="Compact"/>
      </w:pPr>
      <w:r>
        <w:t xml:space="preserve">RFG reformulated gasoline</w:t>
      </w:r>
    </w:p>
    <w:p>
      <w:pPr>
        <w:numPr>
          <w:ilvl w:val="0"/>
          <w:numId w:val="1012"/>
        </w:numPr>
        <w:pStyle w:val="Compact"/>
      </w:pPr>
      <w:r>
        <w:t xml:space="preserve">RFS renewable fuel standards</w:t>
      </w:r>
    </w:p>
    <w:p>
      <w:pPr>
        <w:numPr>
          <w:ilvl w:val="0"/>
          <w:numId w:val="1012"/>
        </w:numPr>
        <w:pStyle w:val="Compact"/>
      </w:pPr>
      <w:r>
        <w:t xml:space="preserve">RMP Risk Management Plan</w:t>
      </w:r>
    </w:p>
    <w:p>
      <w:pPr>
        <w:numPr>
          <w:ilvl w:val="0"/>
          <w:numId w:val="1012"/>
        </w:numPr>
        <w:pStyle w:val="Compact"/>
      </w:pPr>
      <w:r>
        <w:t xml:space="preserve">RNC Reportable Noncompliance (under CWA)</w:t>
      </w:r>
    </w:p>
    <w:p>
      <w:pPr>
        <w:numPr>
          <w:ilvl w:val="0"/>
          <w:numId w:val="1012"/>
        </w:numPr>
        <w:pStyle w:val="Compact"/>
      </w:pPr>
      <w:r>
        <w:t xml:space="preserve">RSEI risk estimation tool based on TRI</w:t>
      </w:r>
    </w:p>
    <w:p>
      <w:pPr>
        <w:numPr>
          <w:ilvl w:val="0"/>
          <w:numId w:val="1012"/>
        </w:numPr>
        <w:pStyle w:val="Compact"/>
      </w:pPr>
      <w:r>
        <w:t xml:space="preserve">RTP Research Triangle Park, NC, USEPA</w:t>
      </w:r>
    </w:p>
    <w:p>
      <w:pPr>
        <w:numPr>
          <w:ilvl w:val="0"/>
          <w:numId w:val="1012"/>
        </w:numPr>
        <w:pStyle w:val="Compact"/>
      </w:pPr>
      <w:r>
        <w:t xml:space="preserve">SaRA analytic tool, USEPA/OAR</w:t>
      </w:r>
    </w:p>
    <w:p>
      <w:pPr>
        <w:numPr>
          <w:ilvl w:val="0"/>
          <w:numId w:val="1012"/>
        </w:numPr>
        <w:pStyle w:val="Compact"/>
      </w:pPr>
      <w:r>
        <w:t xml:space="preserve">SARA Superfund Amendments and Reauthorization Act</w:t>
      </w:r>
    </w:p>
    <w:p>
      <w:pPr>
        <w:numPr>
          <w:ilvl w:val="0"/>
          <w:numId w:val="1012"/>
        </w:numPr>
        <w:pStyle w:val="Compact"/>
      </w:pPr>
      <w:r>
        <w:t xml:space="preserve">SDWA Safe Drinking Water Act</w:t>
      </w:r>
    </w:p>
    <w:p>
      <w:pPr>
        <w:numPr>
          <w:ilvl w:val="0"/>
          <w:numId w:val="1012"/>
        </w:numPr>
        <w:pStyle w:val="Compact"/>
      </w:pPr>
      <w:r>
        <w:t xml:space="preserve">SDWIS Safe Drinking Water Information System</w:t>
      </w:r>
    </w:p>
    <w:p>
      <w:pPr>
        <w:numPr>
          <w:ilvl w:val="0"/>
          <w:numId w:val="1012"/>
        </w:numPr>
        <w:pStyle w:val="Compact"/>
      </w:pPr>
      <w:r>
        <w:t xml:space="preserve">SEC U.S. Securities and Exchange Commission</w:t>
      </w:r>
    </w:p>
    <w:p>
      <w:pPr>
        <w:numPr>
          <w:ilvl w:val="0"/>
          <w:numId w:val="1012"/>
        </w:numPr>
        <w:pStyle w:val="Compact"/>
      </w:pPr>
      <w:r>
        <w:t xml:space="preserve">SES socio-economic status</w:t>
      </w:r>
    </w:p>
    <w:p>
      <w:pPr>
        <w:numPr>
          <w:ilvl w:val="0"/>
          <w:numId w:val="1012"/>
        </w:numPr>
        <w:pStyle w:val="Compact"/>
      </w:pPr>
      <w:r>
        <w:t xml:space="preserve">SIC Standard Industrial Classification</w:t>
      </w:r>
    </w:p>
    <w:p>
      <w:pPr>
        <w:numPr>
          <w:ilvl w:val="0"/>
          <w:numId w:val="1012"/>
        </w:numPr>
        <w:pStyle w:val="Compact"/>
      </w:pPr>
      <w:r>
        <w:t xml:space="preserve">SIP State Implementation Plan (under CAA)</w:t>
      </w:r>
    </w:p>
    <w:p>
      <w:pPr>
        <w:numPr>
          <w:ilvl w:val="0"/>
          <w:numId w:val="1012"/>
        </w:numPr>
        <w:pStyle w:val="Compact"/>
      </w:pPr>
      <w:r>
        <w:t xml:space="preserve">SNC Significant Noncompliance (or Noncomplier) (also see HPV)</w:t>
      </w:r>
    </w:p>
    <w:p>
      <w:pPr>
        <w:numPr>
          <w:ilvl w:val="0"/>
          <w:numId w:val="1012"/>
        </w:numPr>
        <w:pStyle w:val="Compact"/>
      </w:pPr>
      <w:r>
        <w:t xml:space="preserve">SOx Sulfur Oxides</w:t>
      </w:r>
    </w:p>
    <w:p>
      <w:pPr>
        <w:numPr>
          <w:ilvl w:val="0"/>
          <w:numId w:val="1012"/>
        </w:numPr>
        <w:pStyle w:val="Compact"/>
      </w:pPr>
      <w:r>
        <w:t xml:space="preserve">SOx oxides of sulfur</w:t>
      </w:r>
    </w:p>
    <w:p>
      <w:pPr>
        <w:numPr>
          <w:ilvl w:val="0"/>
          <w:numId w:val="1012"/>
        </w:numPr>
        <w:pStyle w:val="Compact"/>
      </w:pPr>
      <w:r>
        <w:t xml:space="preserve">SQG Small Quantity Generator (RCRA Hazardous Waste)</w:t>
      </w:r>
    </w:p>
    <w:p>
      <w:pPr>
        <w:numPr>
          <w:ilvl w:val="0"/>
          <w:numId w:val="1012"/>
        </w:numPr>
        <w:pStyle w:val="Compact"/>
      </w:pPr>
      <w:r>
        <w:t xml:space="preserve">TOSHI Target-Organ-Specific Hazard Index, for HAPs</w:t>
      </w:r>
    </w:p>
    <w:p>
      <w:pPr>
        <w:numPr>
          <w:ilvl w:val="0"/>
          <w:numId w:val="1012"/>
        </w:numPr>
        <w:pStyle w:val="Compact"/>
      </w:pPr>
      <w:r>
        <w:t xml:space="preserve">TRC Technical Review Criteria (under CWA)</w:t>
      </w:r>
    </w:p>
    <w:p>
      <w:pPr>
        <w:numPr>
          <w:ilvl w:val="0"/>
          <w:numId w:val="1012"/>
        </w:numPr>
        <w:pStyle w:val="Compact"/>
      </w:pPr>
      <w:r>
        <w:t xml:space="preserve">TRI Toxic Release Inventory (EPCRA)</w:t>
      </w:r>
    </w:p>
    <w:p>
      <w:pPr>
        <w:numPr>
          <w:ilvl w:val="0"/>
          <w:numId w:val="1012"/>
        </w:numPr>
        <w:pStyle w:val="Compact"/>
      </w:pPr>
      <w:r>
        <w:t xml:space="preserve">TRIS Toxics Release Inventory System</w:t>
      </w:r>
    </w:p>
    <w:p>
      <w:pPr>
        <w:numPr>
          <w:ilvl w:val="0"/>
          <w:numId w:val="1012"/>
        </w:numPr>
        <w:pStyle w:val="Compact"/>
      </w:pPr>
      <w:r>
        <w:t xml:space="preserve">TSCA Toxic Substances Control Act</w:t>
      </w:r>
    </w:p>
    <w:p>
      <w:pPr>
        <w:numPr>
          <w:ilvl w:val="0"/>
          <w:numId w:val="1012"/>
        </w:numPr>
        <w:pStyle w:val="Compact"/>
      </w:pPr>
      <w:r>
        <w:t xml:space="preserve">TSD technical support document</w:t>
      </w:r>
    </w:p>
    <w:p>
      <w:pPr>
        <w:numPr>
          <w:ilvl w:val="0"/>
          <w:numId w:val="1012"/>
        </w:numPr>
        <w:pStyle w:val="Compact"/>
      </w:pPr>
      <w:r>
        <w:t xml:space="preserve">TSDF Treatment, Storage, and Disposal Facility (RCRA Hazardous</w:t>
      </w:r>
      <w:r>
        <w:t xml:space="preserve"> </w:t>
      </w:r>
      <w:r>
        <w:t xml:space="preserve">Waste)</w:t>
      </w:r>
    </w:p>
    <w:p>
      <w:pPr>
        <w:numPr>
          <w:ilvl w:val="0"/>
          <w:numId w:val="1012"/>
        </w:numPr>
        <w:pStyle w:val="Compact"/>
      </w:pPr>
      <w:r>
        <w:t xml:space="preserve">UIC Underground Injection Control</w:t>
      </w:r>
    </w:p>
    <w:p>
      <w:pPr>
        <w:numPr>
          <w:ilvl w:val="0"/>
          <w:numId w:val="1012"/>
        </w:numPr>
        <w:pStyle w:val="Compact"/>
      </w:pPr>
      <w:r>
        <w:t xml:space="preserve">USCG United States Coast Guard</w:t>
      </w:r>
    </w:p>
    <w:p>
      <w:pPr>
        <w:numPr>
          <w:ilvl w:val="0"/>
          <w:numId w:val="1012"/>
        </w:numPr>
        <w:pStyle w:val="Compact"/>
      </w:pPr>
      <w:r>
        <w:t xml:space="preserve">USDA United States Department of Agriculture</w:t>
      </w:r>
    </w:p>
    <w:p>
      <w:pPr>
        <w:numPr>
          <w:ilvl w:val="0"/>
          <w:numId w:val="1012"/>
        </w:numPr>
        <w:pStyle w:val="Compact"/>
      </w:pPr>
      <w:r>
        <w:t xml:space="preserve">USEPA United States Environmental Protection Agency</w:t>
      </w:r>
    </w:p>
    <w:p>
      <w:pPr>
        <w:numPr>
          <w:ilvl w:val="0"/>
          <w:numId w:val="1012"/>
        </w:numPr>
        <w:pStyle w:val="Compact"/>
      </w:pPr>
      <w:r>
        <w:t xml:space="preserve">UST underground storage tank</w:t>
      </w:r>
    </w:p>
    <w:p>
      <w:pPr>
        <w:numPr>
          <w:ilvl w:val="0"/>
          <w:numId w:val="1012"/>
        </w:numPr>
        <w:pStyle w:val="Compact"/>
      </w:pPr>
      <w:r>
        <w:t xml:space="preserve">VOC Volatile Organic Compound</w:t>
      </w:r>
    </w:p>
    <w:p>
      <w:pPr>
        <w:numPr>
          <w:ilvl w:val="0"/>
          <w:numId w:val="1012"/>
        </w:numPr>
        <w:pStyle w:val="Compact"/>
      </w:pPr>
      <w:r>
        <w:t xml:space="preserve">VSQG Very Small Quantity Generator (RCRA Hazardous Waste)</w:t>
      </w:r>
    </w:p>
    <w:p>
      <w:pPr>
        <w:numPr>
          <w:ilvl w:val="0"/>
          <w:numId w:val="1012"/>
        </w:numPr>
        <w:pStyle w:val="Compact"/>
      </w:pPr>
      <w:r>
        <w:t xml:space="preserve">WHEJAC White House Environmental Justice Advisory Council</w:t>
      </w:r>
    </w:p>
    <w:p>
      <w:pPr>
        <w:numPr>
          <w:ilvl w:val="0"/>
          <w:numId w:val="1012"/>
        </w:numPr>
        <w:pStyle w:val="Compact"/>
      </w:pPr>
      <w:r>
        <w:t xml:space="preserve">WOTUS Waters of the United States</w:t>
      </w:r>
    </w:p>
    <w:p>
      <w:r>
        <w:br w:type="page"/>
      </w:r>
    </w:p>
    <w:bookmarkEnd w:id="71"/>
    <w:bookmarkStart w:id="75" w:name="references"/>
    <w:p>
      <w:pPr>
        <w:pStyle w:val="Heading2"/>
      </w:pPr>
      <w:r>
        <w:t xml:space="preserve">References</w:t>
      </w:r>
    </w:p>
    <w:bookmarkStart w:id="74" w:name="refs"/>
    <w:bookmarkStart w:id="73"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2023-04-17T22:29:29Z</dcterms:created>
  <dcterms:modified xsi:type="dcterms:W3CDTF">2023-04-17T22:29:29Z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2023-04-17</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