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5.png" ContentType="image/png"/>
  <Override PartName="/word/media/rId47.png" ContentType="image/png"/>
  <Override PartName="/word/media/rId5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2023-04-15</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2" w:name="methods"/>
    <w:p>
      <w:pPr>
        <w:pStyle w:val="Heading1"/>
      </w:pPr>
      <w:r>
        <w:rPr>
          <w:rStyle w:val="SectionNumber"/>
        </w:rPr>
        <w:t xml:space="preserve">3</w:t>
      </w:r>
      <w:r>
        <w:tab/>
      </w:r>
      <w:r>
        <w:t xml:space="preserve">Methods</w:t>
      </w:r>
    </w:p>
    <w:p>
      <w:pPr>
        <w:pStyle w:val="FirstParagraph"/>
      </w:pPr>
      <w:r>
        <w:t xml:space="preserve">EPA’s EJAM (Environmental Justice Analysis Multisite) tool was used to</w:t>
      </w:r>
      <w:r>
        <w:t xml:space="preserve"> </w:t>
      </w:r>
      <w:r>
        <w:t xml:space="preserve">develop this analysis. EPA’s</w:t>
      </w:r>
      <w:r>
        <w:t xml:space="preserve"> </w:t>
      </w:r>
      <w:hyperlink r:id="rId24">
        <w:r>
          <w:rPr>
            <w:rStyle w:val="Hyperlink"/>
          </w:rPr>
          <w:t xml:space="preserve">EJAM tool</w:t>
        </w:r>
      </w:hyperlink>
      <w:r>
        <w:t xml:space="preserve"> </w:t>
      </w:r>
      <w:r>
        <w:t xml:space="preserve">is a user-friendly web app that can</w:t>
      </w:r>
      <w:r>
        <w:t xml:space="preserve"> </w:t>
      </w:r>
      <w:r>
        <w:t xml:space="preserve">summarize demographics and environmental conditions for any list of</w:t>
      </w:r>
      <w:r>
        <w:t xml:space="preserve"> </w:t>
      </w:r>
      <w:r>
        <w:t xml:space="preserve">places in the nation. It provides interactive results and a formatted,</w:t>
      </w:r>
      <w:r>
        <w:t xml:space="preserve"> </w:t>
      </w:r>
      <w:r>
        <w:t xml:space="preserve">ready-to-share report with written explanations of the results, tables,</w:t>
      </w:r>
      <w:r>
        <w:t xml:space="preserve"> </w:t>
      </w:r>
      <w:r>
        <w:t xml:space="preserve">and graphics. The report can provide EJ-related information about people</w:t>
      </w:r>
      <w:r>
        <w:t xml:space="preserve"> </w:t>
      </w:r>
      <w:r>
        <w:t xml:space="preserve">who live in communities near any of the industrial facilities on a list,</w:t>
      </w:r>
      <w:r>
        <w:t xml:space="preserve"> </w:t>
      </w:r>
      <w:r>
        <w:t xml:space="preserve">for example.</w:t>
      </w:r>
    </w:p>
    <w:p>
      <w:pPr>
        <w:pStyle w:val="BodyText"/>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25">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26">
        <w:r>
          <w:rPr>
            <w:rStyle w:val="Hyperlink"/>
          </w:rPr>
          <w:t xml:space="preserve">EJScreen technical documentation</w:t>
        </w:r>
        <w:r>
          <w:rPr>
            <w:rStyle w:val="Hyperlink"/>
          </w:rPr>
          <w:t xml:space="preserve"> </w:t>
        </w:r>
        <w:r>
          <w:rPr>
            <w:rStyle w:val="Hyperlink"/>
          </w:rPr>
          <w:t xml:space="preserve">page</w:t>
        </w:r>
      </w:hyperlink>
      <w:r>
        <w:t xml:space="preserve">.</w:t>
      </w:r>
      <w:r>
        <w:t xml:space="preserve"> </w:t>
      </w:r>
      <w:r>
        <w:t xml:space="preserve">The only notable differences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 certain certain distance from a point such as a facility), EJAM identifies which residents live nearby using a slight variation on how the distance to each Census block is measured. While EJScreen uses ESRI’s ArcGIS calculations, EJAM calculates the distance using formulas implemented in the R language for statistical computing</w:t>
      </w:r>
      <w:r>
        <w:t xml:space="preserve"> </w:t>
      </w:r>
      <w:r>
        <w:t xml:space="preserve">(R Core Team 2022)</w:t>
      </w:r>
      <w:r>
        <w:t xml:space="preserve">. These measurements provide almost identical results for estimated distance from the average person in a block to a given site point. PLACEHOLDER MORE INFO</w:t>
      </w:r>
    </w:p>
    <w:p>
      <w:pPr>
        <w:numPr>
          <w:ilvl w:val="0"/>
          <w:numId w:val="1003"/>
        </w:numPr>
        <w:pStyle w:val="Compact"/>
      </w:pPr>
      <w:r>
        <w:t xml:space="preserve">EJAM aggregates indicator values within and across locations, converts them to percentiles, and does other summary calculations using the same formulas to the greatest extent possible, but in R rather than within EJScreen itself. There may be slight differences between raw scores and percentiles in EJScreen and EJAM in some cases.</w:t>
      </w:r>
    </w:p>
    <w:bookmarkStart w:id="27" w:name="selection-of-sites-analyzed"/>
    <w:p>
      <w:pPr>
        <w:pStyle w:val="Heading2"/>
      </w:pPr>
      <w:r>
        <w:rPr>
          <w:rStyle w:val="SectionNumber"/>
        </w:rPr>
        <w:t xml:space="preserve">3.1</w:t>
      </w:r>
      <w:r>
        <w:tab/>
      </w:r>
      <w:r>
        <w:t xml:space="preserve">Selection of sites analyzed</w:t>
      </w:r>
    </w:p>
    <w:bookmarkEnd w:id="27"/>
    <w:bookmarkStart w:id="30" w:name="X724524685c6d548926445f80efff4a8cfc55b45"/>
    <w:p>
      <w:pPr>
        <w:pStyle w:val="Heading2"/>
      </w:pPr>
      <w:r>
        <w:rPr>
          <w:rStyle w:val="SectionNumber"/>
        </w:rPr>
        <w:t xml:space="preserve">3.2</w:t>
      </w:r>
      <w:r>
        <w:tab/>
      </w:r>
      <w:r>
        <w:t xml:space="preserve">Estimating locations and population counts of residents</w:t>
      </w:r>
    </w:p>
    <w:bookmarkStart w:id="28" w:name="spatial-resolution-of-data"/>
    <w:p>
      <w:pPr>
        <w:pStyle w:val="Heading3"/>
      </w:pPr>
      <w:r>
        <w:rPr>
          <w:rStyle w:val="SectionNumber"/>
        </w:rPr>
        <w:t xml:space="preserve">3.2.1</w:t>
      </w:r>
      <w:r>
        <w:tab/>
      </w:r>
      <w:r>
        <w:t xml:space="preserve">Spatial resolution of data</w:t>
      </w:r>
    </w:p>
    <w:p>
      <w:pPr>
        <w:pStyle w:val="FirstParagraph"/>
      </w:pPr>
      <w:r>
        <w:t xml:space="preserve">The analysis used EPA’s EJAM tool and EJScreen version 2.1 with demographic data based on the Census Bureau’s 2016-2020 American Community Survey (ACS) and the corresponding version of Decennial Census information on geographic boundaries and FIPS codes for blocks, block groups, tracts, counties, and States.</w:t>
      </w:r>
    </w:p>
    <w:p>
      <w:pPr>
        <w:pStyle w:val="BodyText"/>
      </w:pPr>
      <w:r>
        <w:t xml:space="preserve">See EJScreen methodology for details.</w:t>
      </w:r>
    </w:p>
    <w:bookmarkEnd w:id="28"/>
    <w:bookmarkStart w:id="29" w:name="Xd96c8656f25ae0a7c3f670e56e2320ad94ad84c"/>
    <w:p>
      <w:pPr>
        <w:pStyle w:val="Heading3"/>
      </w:pPr>
      <w:r>
        <w:rPr>
          <w:rStyle w:val="SectionNumber"/>
        </w:rPr>
        <w:t xml:space="preserve">3.2.2</w:t>
      </w:r>
      <w:r>
        <w:tab/>
      </w:r>
      <w:r>
        <w:t xml:space="preserve">Analytic method for buffering, and tools used to implement that method</w:t>
      </w:r>
    </w:p>
    <w:p>
      <w:pPr>
        <w:pStyle w:val="FirstParagraph"/>
      </w:pPr>
      <w:r>
        <w:t xml:space="preserve">See EJScreen methodology for details. EJAM finds nearby block points using a very fast approach but otherwise uses the EJScreen method of estimating nearby residential populations for proximity analysis.</w:t>
      </w:r>
    </w:p>
    <w:bookmarkEnd w:id="29"/>
    <w:bookmarkEnd w:id="30"/>
    <w:bookmarkStart w:id="31" w:name="demographic-and-environmental-indicators"/>
    <w:p>
      <w:pPr>
        <w:pStyle w:val="Heading2"/>
      </w:pPr>
      <w:r>
        <w:rPr>
          <w:rStyle w:val="SectionNumber"/>
        </w:rPr>
        <w:t xml:space="preserve">3.3</w:t>
      </w:r>
      <w:r>
        <w:tab/>
      </w:r>
      <w:r>
        <w:t xml:space="preserve">Demographic and environmental indicators</w:t>
      </w:r>
    </w:p>
    <w:p>
      <w:pPr>
        <w:pStyle w:val="FirstParagraph"/>
      </w:pPr>
      <w:r>
        <w:t xml:space="preserve">PLACEHOLDER - The demographics included here are those in EJScreen and also race/ethnicity subgroups that comprise the total count of people of color. POC are defined as all other than those self-identifying in ACS survey data as white, single race, not Hispanic or Latino - i.e., non-hispanic white alone (NHWA). The subgroups include Hispanic or Latino (</w:t>
      </w:r>
      <w:r>
        <w:t xml:space="preserve">“</w:t>
      </w:r>
      <w:r>
        <w:t xml:space="preserve">hispanic</w:t>
      </w:r>
      <w:r>
        <w:t xml:space="preserve">”</w:t>
      </w:r>
      <w:r>
        <w:t xml:space="preserve">), several groups that are not hispanic but of only single race (e.g., Asian, or more specifically non-hispanic asian alone), non-hispanic other single race, and non-hispanic multiracial.</w:t>
      </w:r>
    </w:p>
    <w:p>
      <w:pPr>
        <w:pStyle w:val="BodyText"/>
      </w:pPr>
      <w:r>
        <w:t xml:space="preserve">See EJScreen methodology for details.</w:t>
      </w:r>
    </w:p>
    <w:bookmarkEnd w:id="31"/>
    <w:bookmarkEnd w:id="32"/>
    <w:bookmarkStart w:id="59" w:name="findings"/>
    <w:p>
      <w:pPr>
        <w:pStyle w:val="Heading1"/>
      </w:pPr>
      <w:r>
        <w:rPr>
          <w:rStyle w:val="SectionNumber"/>
        </w:rPr>
        <w:t xml:space="preserve">4</w:t>
      </w:r>
      <w:r>
        <w:tab/>
      </w:r>
      <w:r>
        <w:t xml:space="preserve">Findings</w:t>
      </w:r>
    </w:p>
    <w:bookmarkStart w:id="38" w:name="text-on-findings"/>
    <w:p>
      <w:pPr>
        <w:pStyle w:val="Heading2"/>
      </w:pPr>
      <w:r>
        <w:rPr>
          <w:rStyle w:val="SectionNumber"/>
        </w:rPr>
        <w:t xml:space="preserve">4.1</w:t>
      </w:r>
      <w:r>
        <w:tab/>
      </w:r>
      <w:r>
        <w:t xml:space="preserve">Text on Findings</w:t>
      </w:r>
    </w:p>
    <w:bookmarkStart w:id="33" w:name="demographics-overall"/>
    <w:p>
      <w:pPr>
        <w:pStyle w:val="Heading3"/>
      </w:pPr>
      <w:r>
        <w:rPr>
          <w:rStyle w:val="SectionNumber"/>
        </w:rPr>
        <w:t xml:space="preserve">4.1.1</w:t>
      </w:r>
      <w:r>
        <w:tab/>
      </w:r>
      <w:r>
        <w:t xml:space="preserve">Demographics overall</w:t>
      </w:r>
    </w:p>
    <w:p>
      <w:pPr>
        <w:pStyle w:val="FirstParagraph"/>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 Limited-English Households than the average US resident.</w:t>
      </w:r>
    </w:p>
    <w:p>
      <w:pPr>
        <w:pStyle w:val="BodyText"/>
      </w:pPr>
      <w:r>
        <w:t xml:space="preserve">The % with limited English is driven by high scores at</w:t>
      </w:r>
      <w:r>
        <w:t xml:space="preserve"> </w:t>
      </w:r>
      <w:r>
        <w:t xml:space="preserve">only a few very highly population sites – it is high enough that the</w:t>
      </w:r>
      <w:r>
        <w:t xml:space="preserve"> </w:t>
      </w:r>
      <w:r>
        <w:t xml:space="preserve">rate overall is in the top quintile nationally (83 percentile), but</w:t>
      </w:r>
      <w:r>
        <w:t xml:space="preserve"> </w:t>
      </w:r>
      <w:r>
        <w:t xml:space="preserve">other demographics do not reach the top quintile for the entire</w:t>
      </w:r>
      <w:r>
        <w:t xml:space="preserve"> </w:t>
      </w:r>
      <w:r>
        <w:t xml:space="preserve">population across all sites as a whole.</w:t>
      </w:r>
    </w:p>
    <w:p>
      <w:pPr>
        <w:pStyle w:val="BodyText"/>
      </w:pPr>
      <w:r>
        <w:t xml:space="preserve">Near most of these 72 sites, % low income is at least 1.3x the rate in</w:t>
      </w:r>
      <w:r>
        <w:t xml:space="preserve"> </w:t>
      </w:r>
      <w:r>
        <w:t xml:space="preserve">the US overall, and near 1 in 4 it is at least 1.5x the US rate.</w:t>
      </w:r>
    </w:p>
    <w:bookmarkEnd w:id="33"/>
    <w:bookmarkStart w:id="34" w:name="demographics-at-key-sites"/>
    <w:p>
      <w:pPr>
        <w:pStyle w:val="Heading3"/>
      </w:pPr>
      <w:r>
        <w:rPr>
          <w:rStyle w:val="SectionNumber"/>
        </w:rPr>
        <w:t xml:space="preserve">4.1.2</w:t>
      </w:r>
      <w:r>
        <w:tab/>
      </w:r>
      <w:r>
        <w:t xml:space="preserve">Demographics at key sites</w:t>
      </w:r>
    </w:p>
    <w:p>
      <w:pPr>
        <w:pStyle w:val="FirstParagraph"/>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34"/>
    <w:bookmarkStart w:id="35" w:name="environment-overall"/>
    <w:p>
      <w:pPr>
        <w:pStyle w:val="Heading3"/>
      </w:pPr>
      <w:r>
        <w:rPr>
          <w:rStyle w:val="SectionNumber"/>
        </w:rPr>
        <w:t xml:space="preserve">4.1.3</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bookmarkEnd w:id="35"/>
    <w:bookmarkStart w:id="36" w:name="environment-at-key-sites"/>
    <w:p>
      <w:pPr>
        <w:pStyle w:val="Heading3"/>
      </w:pPr>
      <w:r>
        <w:rPr>
          <w:rStyle w:val="SectionNumber"/>
        </w:rPr>
        <w:t xml:space="preserve">4.1.4</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36"/>
    <w:bookmarkStart w:id="37" w:name="cumulative-impacts-at-key-sites"/>
    <w:p>
      <w:pPr>
        <w:pStyle w:val="Heading3"/>
      </w:pPr>
      <w:r>
        <w:rPr>
          <w:rStyle w:val="SectionNumber"/>
        </w:rPr>
        <w:t xml:space="preserve">4.1.5</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37"/>
    <w:bookmarkEnd w:id="38"/>
    <w:bookmarkStart w:id="42" w:name="data-viz-1-map"/>
    <w:p>
      <w:pPr>
        <w:pStyle w:val="Heading2"/>
      </w:pPr>
      <w:r>
        <w:rPr>
          <w:rStyle w:val="SectionNumber"/>
        </w:rPr>
        <w:t xml:space="preserve">4.2</w:t>
      </w:r>
      <w:r>
        <w:tab/>
      </w:r>
      <w:r>
        <w:t xml:space="preserve">Data Viz 1 – Map</w:t>
      </w:r>
    </w:p>
    <w:p>
      <w:pPr>
        <w:pStyle w:val="FirstParagraph"/>
      </w:pPr>
      <w:r>
        <w:drawing>
          <wp:inline>
            <wp:extent cx="5334000" cy="3333750"/>
            <wp:effectExtent b="0" l="0" r="0" t="0"/>
            <wp:docPr descr="" title="" id="40" name="Picture"/>
            <a:graphic>
              <a:graphicData uri="http://schemas.openxmlformats.org/drawingml/2006/picture">
                <pic:pic>
                  <pic:nvPicPr>
                    <pic:cNvPr descr="map_placeholder.png" id="41"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2"/>
    <w:bookmarkStart w:id="46"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4" name="Picture"/>
            <a:graphic>
              <a:graphicData uri="http://schemas.openxmlformats.org/drawingml/2006/picture">
                <pic:pic>
                  <pic:nvPicPr>
                    <pic:cNvPr descr="barplot_placeholder.png" id="45"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46"/>
    <w:bookmarkStart w:id="50" w:name="data-table-1.-demographic-indicators"/>
    <w:p>
      <w:pPr>
        <w:pStyle w:val="Heading2"/>
      </w:pPr>
      <w:r>
        <w:rPr>
          <w:rStyle w:val="SectionNumber"/>
        </w:rPr>
        <w:t xml:space="preserve">4.4</w:t>
      </w:r>
      <w:r>
        <w:tab/>
      </w:r>
      <w:r>
        <w:t xml:space="preserve">Data Table 1. Demographic Indicators</w:t>
      </w:r>
    </w:p>
    <w:p>
      <w:pPr>
        <w:pStyle w:val="FirstParagraph"/>
      </w:pPr>
      <w:r>
        <w:drawing>
          <wp:inline>
            <wp:extent cx="5334000" cy="2843048"/>
            <wp:effectExtent b="0" l="0" r="0" t="0"/>
            <wp:docPr descr="" title="" id="48" name="Picture"/>
            <a:graphic>
              <a:graphicData uri="http://schemas.openxmlformats.org/drawingml/2006/picture">
                <pic:pic>
                  <pic:nvPicPr>
                    <pic:cNvPr descr="demog_table_placeholder.png" id="49" name="Picture"/>
                    <pic:cNvPicPr>
                      <a:picLocks noChangeArrowheads="1" noChangeAspect="1"/>
                    </pic:cNvPicPr>
                  </pic:nvPicPr>
                  <pic:blipFill>
                    <a:blip r:embed="rId47"/>
                    <a:stretch>
                      <a:fillRect/>
                    </a:stretch>
                  </pic:blipFill>
                  <pic:spPr bwMode="auto">
                    <a:xfrm>
                      <a:off x="0" y="0"/>
                      <a:ext cx="5334000" cy="2843048"/>
                    </a:xfrm>
                    <a:prstGeom prst="rect">
                      <a:avLst/>
                    </a:prstGeom>
                    <a:noFill/>
                    <a:ln w="9525">
                      <a:noFill/>
                      <a:headEnd/>
                      <a:tailEnd/>
                    </a:ln>
                  </pic:spPr>
                </pic:pic>
              </a:graphicData>
            </a:graphic>
          </wp:inline>
        </w:drawing>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0"/>
    <w:bookmarkStart w:id="54"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3069049"/>
            <wp:effectExtent b="0" l="0" r="0" t="0"/>
            <wp:docPr descr="" title="" id="52" name="Picture"/>
            <a:graphic>
              <a:graphicData uri="http://schemas.openxmlformats.org/drawingml/2006/picture">
                <pic:pic>
                  <pic:nvPicPr>
                    <pic:cNvPr descr="envt_table_placeholder.png" id="53" name="Picture"/>
                    <pic:cNvPicPr>
                      <a:picLocks noChangeArrowheads="1" noChangeAspect="1"/>
                    </pic:cNvPicPr>
                  </pic:nvPicPr>
                  <pic:blipFill>
                    <a:blip r:embed="rId51"/>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discussion of plot here</w:t>
      </w:r>
    </w:p>
    <w:p>
      <w:pPr>
        <w:pStyle w:val="BodyText"/>
      </w:pPr>
      <w:r>
        <w:t xml:space="preserve">discussion of plot here</w:t>
      </w:r>
    </w:p>
    <w:p>
      <w:pPr>
        <w:pStyle w:val="BodyText"/>
      </w:pPr>
      <w:r>
        <w:t xml:space="preserve">discussion of plot here</w:t>
      </w:r>
    </w:p>
    <w:p>
      <w:pPr>
        <w:pStyle w:val="BodyText"/>
      </w:pPr>
      <w:r>
        <w:t xml:space="preserve">discussion of plot here</w:t>
      </w:r>
    </w:p>
    <w:p>
      <w:pPr>
        <w:pStyle w:val="BodyText"/>
      </w:pPr>
      <w:r>
        <w:t xml:space="preserve">discussion of plot here</w:t>
      </w:r>
    </w:p>
    <w:bookmarkEnd w:id="54"/>
    <w:bookmarkStart w:id="58" w:name="data-viz-3-boxplots"/>
    <w:p>
      <w:pPr>
        <w:pStyle w:val="Heading2"/>
      </w:pPr>
      <w:r>
        <w:rPr>
          <w:rStyle w:val="SectionNumber"/>
        </w:rPr>
        <w:t xml:space="preserve">4.6</w:t>
      </w:r>
      <w:r>
        <w:tab/>
      </w:r>
      <w:r>
        <w:t xml:space="preserve">Data Viz 3 – Boxplots</w:t>
      </w:r>
    </w:p>
    <w:p>
      <w:pPr>
        <w:pStyle w:val="FirstParagraph"/>
      </w:pPr>
      <w:r>
        <w:drawing>
          <wp:inline>
            <wp:extent cx="5334000" cy="3333750"/>
            <wp:effectExtent b="0" l="0" r="0" t="0"/>
            <wp:docPr descr="" title="" id="56" name="Picture"/>
            <a:graphic>
              <a:graphicData uri="http://schemas.openxmlformats.org/drawingml/2006/picture">
                <pic:pic>
                  <pic:nvPicPr>
                    <pic:cNvPr descr="boxplot_placeholder.png" id="57"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bookmarkEnd w:id="58"/>
    <w:bookmarkEnd w:id="59"/>
    <w:bookmarkStart w:id="62" w:name="appendices"/>
    <w:p>
      <w:pPr>
        <w:pStyle w:val="Heading1"/>
      </w:pPr>
      <w:r>
        <w:rPr>
          <w:rStyle w:val="SectionNumber"/>
        </w:rPr>
        <w:t xml:space="preserve">5</w:t>
      </w:r>
      <w:r>
        <w:tab/>
      </w:r>
      <w:r>
        <w:t xml:space="preserve">Appendices</w:t>
      </w:r>
    </w:p>
    <w:bookmarkStart w:id="60" w:name="acknowledgements"/>
    <w:p>
      <w:pPr>
        <w:pStyle w:val="Heading2"/>
      </w:pPr>
      <w:r>
        <w:rPr>
          <w:rStyle w:val="SectionNumber"/>
        </w:rPr>
        <w:t xml:space="preserve">5.1</w:t>
      </w:r>
      <w:r>
        <w:tab/>
      </w:r>
      <w:r>
        <w:t xml:space="preserve">Acknowledgements</w:t>
      </w:r>
    </w:p>
    <w:bookmarkEnd w:id="60"/>
    <w:bookmarkStart w:id="61" w:name="list-of-abbreviations"/>
    <w:p>
      <w:pPr>
        <w:pStyle w:val="Heading2"/>
      </w:pPr>
      <w:r>
        <w:rPr>
          <w:rStyle w:val="SectionNumber"/>
        </w:rPr>
        <w:t xml:space="preserve">5.2</w:t>
      </w:r>
      <w:r>
        <w:tab/>
      </w:r>
      <w:r>
        <w:t xml:space="preserve">List of Abbreviations</w:t>
      </w:r>
    </w:p>
    <w:p>
      <w:r>
        <w:br w:type="page"/>
      </w:r>
    </w:p>
    <w:bookmarkEnd w:id="61"/>
    <w:bookmarkEnd w:id="62"/>
    <w:bookmarkStart w:id="66" w:name="references"/>
    <w:p>
      <w:pPr>
        <w:pStyle w:val="Heading1"/>
      </w:pPr>
      <w:r>
        <w:t xml:space="preserve">References</w:t>
      </w:r>
    </w:p>
    <w:bookmarkStart w:id="65" w:name="refs"/>
    <w:bookmarkStart w:id="64"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63" Target="https://www.R-project.org/" TargetMode="External" /><Relationship Type="http://schemas.openxmlformats.org/officeDocument/2006/relationships/hyperlink" Id="rId26"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63" Target="https://www.R-project.org/" TargetMode="External" /><Relationship Type="http://schemas.openxmlformats.org/officeDocument/2006/relationships/hyperlink" Id="rId26"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2023-04-15T18:28:01Z</dcterms:created>
  <dcterms:modified xsi:type="dcterms:W3CDTF">2023-04-15T18:28:01Z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2023-04-15</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