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 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For this study, we used five fluorometers that are commonly used by our collaborators in the northeast US. In decreasing order of cost, they are: bbe PhycoProbe, bbe AlgaeTorch, Turner Trilogy (in vivo chlorophyll and orange modules), Turner Cyanofluor, and Turner FluoroSense.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six ponds in Rhode Island. (</w:t>
      </w:r>
      <w:hyperlink w:anchor="fig-map">
        <w:r>
          <w:rPr>
            <w:rStyle w:val="Hyperlink"/>
          </w:rPr>
          <w:t xml:space="preserve">Figure 1</w:t>
        </w:r>
      </w:hyperlink>
      <w:r>
        <w:t xml:space="preserve">). Samples from Barber, Indian and Yawgoo were collected on 2021-10-06 and samples from Curran, Mashapaug, and Warwick were collected on 2021-10-22.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All phytoplankton samples were collected on 2021-10-06. 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compared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a mean of 1.3 ug/L in Indian Lake to a mean of 32.2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4" w:name="fig-chlascatter"/>
          <w:p>
            <w:pPr>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Extracted chlorophyll summary data by waterbody and instrument.</w:t>
      </w:r>
    </w:p>
    <w:tbl>
      <w:tblPr>
        <w:tblStyle w:val="Table"/>
        <w:tblW w:type="auto" w:w="0"/>
        <w:tblLook w:firstRow="1" w:lastRow="0" w:firstColumn="0" w:lastColumn="0" w:noHBand="0" w:noVBand="0" w:val="0020"/>
        <w:jc w:val="start"/>
        <w:tblCaption w:val="Table 1: Extracted chlorophyll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1</w:t>
            </w:r>
          </w:p>
        </w:tc>
        <w:tc>
          <w:tcPr/>
          <w:p>
            <w:pPr>
              <w:pStyle w:val="Compact"/>
              <w:jc w:val="left"/>
            </w:pPr>
            <w:r>
              <w:t xml:space="preserve">barber</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4.5</w:t>
            </w:r>
          </w:p>
        </w:tc>
        <w:tc>
          <w:tcPr/>
          <w:p>
            <w:pPr>
              <w:pStyle w:val="Compact"/>
              <w:jc w:val="right"/>
            </w:pPr>
            <w:r>
              <w:t xml:space="preserve">0.2</w:t>
            </w:r>
          </w:p>
        </w:tc>
      </w:tr>
      <w:tr>
        <w:tc>
          <w:tcPr/>
          <w:p>
            <w:pPr>
              <w:pStyle w:val="Compact"/>
              <w:jc w:val="left"/>
            </w:pPr>
            <w:r>
              <w:t xml:space="preserve">3</w:t>
            </w:r>
          </w:p>
        </w:tc>
        <w:tc>
          <w:tcPr/>
          <w:p>
            <w:pPr>
              <w:pStyle w:val="Compact"/>
              <w:jc w:val="left"/>
            </w:pPr>
            <w:r>
              <w:t xml:space="preserve">curran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19.6</w:t>
            </w:r>
          </w:p>
        </w:tc>
        <w:tc>
          <w:tcPr/>
          <w:p>
            <w:pPr>
              <w:pStyle w:val="Compact"/>
              <w:jc w:val="right"/>
            </w:pPr>
            <w:r>
              <w:t xml:space="preserve">0.2</w:t>
            </w:r>
          </w:p>
        </w:tc>
      </w:tr>
      <w:tr>
        <w:tc>
          <w:tcPr/>
          <w:p>
            <w:pPr>
              <w:pStyle w:val="Compact"/>
              <w:jc w:val="left"/>
            </w:pPr>
            <w:r>
              <w:t xml:space="preserve">5</w:t>
            </w:r>
          </w:p>
        </w:tc>
        <w:tc>
          <w:tcPr/>
          <w:p>
            <w:pPr>
              <w:pStyle w:val="Compact"/>
              <w:jc w:val="left"/>
            </w:pPr>
            <w:r>
              <w:t xml:space="preserve">indian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1.3</w:t>
            </w:r>
          </w:p>
        </w:tc>
        <w:tc>
          <w:tcPr/>
          <w:p>
            <w:pPr>
              <w:pStyle w:val="Compact"/>
              <w:jc w:val="right"/>
            </w:pPr>
            <w:r>
              <w:t xml:space="preserve">0.0</w:t>
            </w:r>
          </w:p>
        </w:tc>
      </w:tr>
      <w:tr>
        <w:tc>
          <w:tcPr/>
          <w:p>
            <w:pPr>
              <w:pStyle w:val="Compact"/>
              <w:jc w:val="left"/>
            </w:pPr>
            <w:r>
              <w:t xml:space="preserve">7</w:t>
            </w:r>
          </w:p>
        </w:tc>
        <w:tc>
          <w:tcPr/>
          <w:p>
            <w:pPr>
              <w:pStyle w:val="Compact"/>
              <w:jc w:val="left"/>
            </w:pPr>
            <w:r>
              <w:t xml:space="preserve">mashapaug</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w:t>
            </w:r>
          </w:p>
        </w:tc>
        <w:tc>
          <w:tcPr/>
          <w:p>
            <w:pPr>
              <w:pStyle w:val="Compact"/>
              <w:jc w:val="right"/>
            </w:pPr>
            <w:r>
              <w:t xml:space="preserve">3.6</w:t>
            </w:r>
          </w:p>
        </w:tc>
      </w:tr>
      <w:tr>
        <w:tc>
          <w:tcPr/>
          <w:p>
            <w:pPr>
              <w:pStyle w:val="Compact"/>
              <w:jc w:val="left"/>
            </w:pPr>
            <w:r>
              <w:t xml:space="preserve">9</w:t>
            </w:r>
          </w:p>
        </w:tc>
        <w:tc>
          <w:tcPr/>
          <w:p>
            <w:pPr>
              <w:pStyle w:val="Compact"/>
              <w:jc w:val="left"/>
            </w:pPr>
            <w:r>
              <w:t xml:space="preserve">warwick</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w:t>
            </w:r>
          </w:p>
        </w:tc>
        <w:tc>
          <w:tcPr/>
          <w:p>
            <w:pPr>
              <w:pStyle w:val="Compact"/>
              <w:jc w:val="right"/>
            </w:pPr>
            <w:r>
              <w:t xml:space="preserve">1.0</w:t>
            </w:r>
          </w:p>
        </w:tc>
      </w:tr>
      <w:tr>
        <w:tc>
          <w:tcPr/>
          <w:p>
            <w:pPr>
              <w:pStyle w:val="Compact"/>
              <w:jc w:val="left"/>
            </w:pPr>
            <w:r>
              <w:t xml:space="preserve">11</w:t>
            </w:r>
          </w:p>
        </w:tc>
        <w:tc>
          <w:tcPr/>
          <w:p>
            <w:pPr>
              <w:pStyle w:val="Compact"/>
              <w:jc w:val="left"/>
            </w:pPr>
            <w:r>
              <w:t xml:space="preserve">yawgoo</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w:t>
            </w:r>
          </w:p>
        </w:tc>
        <w:tc>
          <w:tcPr/>
          <w:p>
            <w:pPr>
              <w:pStyle w:val="Compact"/>
              <w:jc w:val="right"/>
            </w:pPr>
            <w:r>
              <w:t xml:space="preserve">0.2</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a mean of 0.2 ug/L in Indian Lake and Barber Pond to 10.5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40" w:name="fig-phycoscatter"/>
          <w:p>
            <w:pPr>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Extracted phycocyanin summary data by waterbody and instrument.</w:t>
      </w:r>
    </w:p>
    <w:tbl>
      <w:tblPr>
        <w:tblStyle w:val="Table"/>
        <w:tblW w:type="auto" w:w="0"/>
        <w:tblLook w:firstRow="1" w:lastRow="0" w:firstColumn="0" w:lastColumn="0" w:noHBand="0" w:noVBand="0" w:val="0020"/>
        <w:jc w:val="start"/>
        <w:tblCaption w:val="Table 2: Extracted phycocyanin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2</w:t>
            </w:r>
          </w:p>
        </w:tc>
        <w:tc>
          <w:tcPr/>
          <w:p>
            <w:pPr>
              <w:pStyle w:val="Compact"/>
              <w:jc w:val="left"/>
            </w:pPr>
            <w:r>
              <w:t xml:space="preserve">barber</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4</w:t>
            </w:r>
          </w:p>
        </w:tc>
        <w:tc>
          <w:tcPr/>
          <w:p>
            <w:pPr>
              <w:pStyle w:val="Compact"/>
              <w:jc w:val="left"/>
            </w:pPr>
            <w:r>
              <w:t xml:space="preserve">curran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1.5</w:t>
            </w:r>
          </w:p>
        </w:tc>
        <w:tc>
          <w:tcPr/>
          <w:p>
            <w:pPr>
              <w:pStyle w:val="Compact"/>
              <w:jc w:val="right"/>
            </w:pPr>
            <w:r>
              <w:t xml:space="preserve">0.4</w:t>
            </w:r>
          </w:p>
        </w:tc>
      </w:tr>
      <w:tr>
        <w:tc>
          <w:tcPr/>
          <w:p>
            <w:pPr>
              <w:pStyle w:val="Compact"/>
              <w:jc w:val="left"/>
            </w:pPr>
            <w:r>
              <w:t xml:space="preserve">6</w:t>
            </w:r>
          </w:p>
        </w:tc>
        <w:tc>
          <w:tcPr/>
          <w:p>
            <w:pPr>
              <w:pStyle w:val="Compact"/>
              <w:jc w:val="left"/>
            </w:pPr>
            <w:r>
              <w:t xml:space="preserve">indian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8</w:t>
            </w:r>
          </w:p>
        </w:tc>
        <w:tc>
          <w:tcPr/>
          <w:p>
            <w:pPr>
              <w:pStyle w:val="Compact"/>
              <w:jc w:val="left"/>
            </w:pPr>
            <w:r>
              <w:t xml:space="preserve">mashapaug</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w:t>
            </w:r>
          </w:p>
        </w:tc>
        <w:tc>
          <w:tcPr/>
          <w:p>
            <w:pPr>
              <w:pStyle w:val="Compact"/>
              <w:jc w:val="right"/>
            </w:pPr>
            <w:r>
              <w:t xml:space="preserve">2.6</w:t>
            </w:r>
          </w:p>
        </w:tc>
      </w:tr>
      <w:tr>
        <w:tc>
          <w:tcPr/>
          <w:p>
            <w:pPr>
              <w:pStyle w:val="Compact"/>
              <w:jc w:val="left"/>
            </w:pPr>
            <w:r>
              <w:t xml:space="preserve">10</w:t>
            </w:r>
          </w:p>
        </w:tc>
        <w:tc>
          <w:tcPr/>
          <w:p>
            <w:pPr>
              <w:pStyle w:val="Compact"/>
              <w:jc w:val="left"/>
            </w:pPr>
            <w:r>
              <w:t xml:space="preserve">warwick</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w:t>
            </w:r>
          </w:p>
        </w:tc>
        <w:tc>
          <w:tcPr/>
          <w:p>
            <w:pPr>
              <w:pStyle w:val="Compact"/>
              <w:jc w:val="right"/>
            </w:pPr>
            <w:r>
              <w:t xml:space="preserve">0.5</w:t>
            </w:r>
          </w:p>
        </w:tc>
      </w:tr>
      <w:tr>
        <w:tc>
          <w:tcPr/>
          <w:p>
            <w:pPr>
              <w:pStyle w:val="Compact"/>
              <w:jc w:val="left"/>
            </w:pPr>
            <w:r>
              <w:t xml:space="preserve">12</w:t>
            </w:r>
          </w:p>
        </w:tc>
        <w:tc>
          <w:tcPr/>
          <w:p>
            <w:pPr>
              <w:pStyle w:val="Compact"/>
              <w:jc w:val="left"/>
            </w:pPr>
            <w:r>
              <w:t xml:space="preserve">yawgoo</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w:t>
            </w:r>
          </w:p>
        </w:tc>
        <w:tc>
          <w:tcPr/>
          <w:p>
            <w:pPr>
              <w:pStyle w:val="Compact"/>
              <w:jc w:val="right"/>
            </w:pPr>
            <w:r>
              <w:t xml:space="preserve">0.1</w:t>
            </w:r>
          </w:p>
        </w:tc>
      </w:tr>
    </w:tbl>
    <w:bookmarkEnd w:id="41"/>
    <w:bookmarkEnd w:id="42"/>
    <w:bookmarkStart w:id="55" w:name="phytoplankton-counts-1"/>
    <w:p>
      <w:pPr>
        <w:pStyle w:val="Heading2"/>
      </w:pPr>
      <w:r>
        <w:t xml:space="preserve">Phytoplankton Counts</w:t>
      </w:r>
    </w:p>
    <w:p>
      <w:pPr>
        <w:pStyle w:val="FirstParagraph"/>
      </w:pPr>
      <w:r>
        <w:t xml:space="preserve">Cyanophytes were the dominant taxa at all waterbodies with the highest concentrations observed at Curran (38,019 natural units/mL), Mashapaug (89,806 natural units/mL), and Warwick (45,847 natural units/mL)(</w:t>
      </w:r>
      <w:hyperlink w:anchor="fig-cellsml">
        <w:r>
          <w:rPr>
            <w:rStyle w:val="Hyperlink"/>
          </w:rPr>
          <w:t xml:space="preserve">Figure 4</w:t>
        </w:r>
      </w:hyperlink>
      <w:r>
        <w:t xml:space="preserve">).  Total concentrations were highest at Mashapaug (92,527 natural units/mL), Warwick (70,728 natural units/mL), and Curran (40,428 natural units/mL).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cellsml"/>
          <w:p>
            <w:pPr>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Cells/mL of divisions by waterbody</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chlcount"/>
          <w:p>
            <w:pPr>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fluorometer chlorophyll to cyanobacteria cell counts</w:t>
            </w:r>
          </w:p>
          <w:bookmarkEnd w:id="5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4" w:name="fig-phycocount"/>
          <w:p>
            <w:pPr>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phycocyanin to cyanobacteria cell counts</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chlorophyll measurements. Instruments measuring in-vivo phycocyanin were better able to handle the cyanobacteria-dominated phytoplankton communities in these study ponds that cause in-vivo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w:t>
      </w:r>
      <w:r>
        <w:t xml:space="preserve">Hamdhani et al. (2021)</w:t>
      </w:r>
      <w:r>
        <w:t xml:space="preserve">).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compared to extracted concentrations. However, the output from these instruments is not a direct measure of phycocyanin. Instead, these instruments measure the percentage of the chlorophyll that is derived from cyanobacteria, which makes a comparision with other instruments that directly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w:t>
      </w:r>
      <w:r>
        <w:t xml:space="preserve">Thomson-Laing, Puddick, and Wood (2020)</w:t>
      </w:r>
      <w:r>
        <w:t xml:space="preserve">).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cell counts of cyanobacteria were the highest in Mashapaug and it is likely that these high concentrations were underestimating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w:t>
      </w:r>
      <w:r>
        <w:t xml:space="preserve">Silva et al. (2016)</w:t>
      </w:r>
      <w:r>
        <w:t xml:space="preserve">).</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Hilary Snook, Darryl Keith, Steve Rego,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bookmarkStart w:id="59"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jc w:val="start"/>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59"/>
    <w:bookmarkEnd w:id="60"/>
    <w:bookmarkStart w:id="88" w:name="references"/>
    <w:p>
      <w:pPr>
        <w:pStyle w:val="Heading1"/>
      </w:pPr>
      <w:r>
        <w:t xml:space="preserve">References</w:t>
      </w:r>
    </w:p>
    <w:bookmarkStart w:id="87"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hamdhani_performance_2021"/>
    <w:p>
      <w:pPr>
        <w:pStyle w:val="Bibliography"/>
      </w:pPr>
      <w:r>
        <w:t xml:space="preserve">Hamdhani, Hamdhani, Drew E. Eppehimer, David Walker, and Michael T. Bogan. 2021.</w:t>
      </w:r>
      <w:r>
        <w:t xml:space="preserve"> </w:t>
      </w:r>
      <w:r>
        <w:t xml:space="preserve">“Performance of a</w:t>
      </w:r>
      <w:r>
        <w:t xml:space="preserve"> </w:t>
      </w:r>
      <w:r>
        <w:t xml:space="preserve">Handheld</w:t>
      </w:r>
      <w:r>
        <w:t xml:space="preserve"> </w:t>
      </w:r>
      <w:r>
        <w:t xml:space="preserve">Chlorophyll</w:t>
      </w:r>
      <w:r>
        <w:t xml:space="preserve">-a</w:t>
      </w:r>
      <w:r>
        <w:t xml:space="preserve"> </w:t>
      </w:r>
      <w:r>
        <w:t xml:space="preserve">Fluorometer</w:t>
      </w:r>
      <w:r>
        <w:t xml:space="preserve">:</w:t>
      </w:r>
      <w:r>
        <w:t xml:space="preserve"> </w:t>
      </w:r>
      <w:r>
        <w:t xml:space="preserve">Potential</w:t>
      </w:r>
      <w:r>
        <w:t xml:space="preserve"> </w:t>
      </w:r>
      <w:r>
        <w:t xml:space="preserve">Use</w:t>
      </w:r>
      <w:r>
        <w:t xml:space="preserve"> </w:t>
      </w:r>
      <w:r>
        <w:t xml:space="preserve">for</w:t>
      </w:r>
      <w:r>
        <w:t xml:space="preserve"> </w:t>
      </w:r>
      <w:r>
        <w:t xml:space="preserve">Rapid</w:t>
      </w:r>
      <w:r>
        <w:t xml:space="preserve"> </w:t>
      </w:r>
      <w:r>
        <w:t xml:space="preserve">Algae</w:t>
      </w:r>
      <w:r>
        <w:t xml:space="preserve"> </w:t>
      </w:r>
      <w:r>
        <w:t xml:space="preserve">Monitoring</w:t>
      </w:r>
      <w:r>
        <w:t xml:space="preserve">.”</w:t>
      </w:r>
      <w:r>
        <w:t xml:space="preserve"> </w:t>
      </w:r>
      <w:r>
        <w:rPr>
          <w:iCs/>
          <w:i/>
        </w:rPr>
        <w:t xml:space="preserve">Water</w:t>
      </w:r>
      <w:r>
        <w:t xml:space="preserve"> </w:t>
      </w:r>
      <w:r>
        <w:t xml:space="preserve">13 (10): 1409.</w:t>
      </w:r>
      <w:r>
        <w:t xml:space="preserve"> </w:t>
      </w:r>
      <w:hyperlink r:id="rId69">
        <w:r>
          <w:rPr>
            <w:rStyle w:val="Hyperlink"/>
          </w:rPr>
          <w:t xml:space="preserve">https://doi.org/10.3390/w13101409</w:t>
        </w:r>
      </w:hyperlink>
      <w:r>
        <w:t xml:space="preserve">.</w:t>
      </w:r>
    </w:p>
    <w:bookmarkEnd w:id="70"/>
    <w:bookmarkStart w:id="72"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71">
        <w:r>
          <w:rPr>
            <w:rStyle w:val="Hyperlink"/>
          </w:rPr>
          <w:t xml:space="preserve">https://doi.org/10.1016/j.watres.2021.117661</w:t>
        </w:r>
      </w:hyperlink>
      <w:r>
        <w:t xml:space="preserve">.</w:t>
      </w:r>
    </w:p>
    <w:bookmarkEnd w:id="72"/>
    <w:bookmarkStart w:id="74"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3">
        <w:r>
          <w:rPr>
            <w:rStyle w:val="Hyperlink"/>
          </w:rPr>
          <w:t xml:space="preserve">https://doi.org/10.1021/acs.est.6b02575</w:t>
        </w:r>
      </w:hyperlink>
      <w:r>
        <w:t xml:space="preserve">.</w:t>
      </w:r>
    </w:p>
    <w:bookmarkEnd w:id="74"/>
    <w:bookmarkStart w:id="76"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5">
        <w:r>
          <w:rPr>
            <w:rStyle w:val="Hyperlink"/>
          </w:rPr>
          <w:t xml:space="preserve">https://doi.org/10.1016/j.watres.2022.118127</w:t>
        </w:r>
      </w:hyperlink>
      <w:r>
        <w:t xml:space="preserve">.</w:t>
      </w:r>
    </w:p>
    <w:bookmarkEnd w:id="76"/>
    <w:bookmarkStart w:id="78"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7">
        <w:r>
          <w:rPr>
            <w:rStyle w:val="Hyperlink"/>
          </w:rPr>
          <w:t xml:space="preserve">https://doi.org/10.1073/pnas.0805108105</w:t>
        </w:r>
      </w:hyperlink>
      <w:r>
        <w:t xml:space="preserve">.</w:t>
      </w:r>
    </w:p>
    <w:bookmarkEnd w:id="78"/>
    <w:bookmarkStart w:id="80" w:name="ref-silva_comparison_2016"/>
    <w:p>
      <w:pPr>
        <w:pStyle w:val="Bibliography"/>
      </w:pPr>
      <w:r>
        <w:t xml:space="preserve">Silva, Talita, Alessandra Giani, Cleber Figueredo, Priscila Viana, Viet Tran Khac, Bruno J. Lemaire, Bruno Tassin, Nilo Nascimento, and Brigitte Vinçon-Leite. 2016.</w:t>
      </w:r>
      <w:r>
        <w:t xml:space="preserve"> </w:t>
      </w:r>
      <w:r>
        <w:t xml:space="preserve">“Comparison of Cyanobacteria Monitoring Methods in a Tropical Reservoir by in Vivo and in Situ Spectrofluorometry.”</w:t>
      </w:r>
      <w:r>
        <w:t xml:space="preserve"> </w:t>
      </w:r>
      <w:r>
        <w:rPr>
          <w:iCs/>
          <w:i/>
        </w:rPr>
        <w:t xml:space="preserve">Ecological Engineering</w:t>
      </w:r>
      <w:r>
        <w:t xml:space="preserve"> </w:t>
      </w:r>
      <w:r>
        <w:t xml:space="preserve">97 (December): 79–87.</w:t>
      </w:r>
      <w:r>
        <w:t xml:space="preserve"> </w:t>
      </w:r>
      <w:hyperlink r:id="rId79">
        <w:r>
          <w:rPr>
            <w:rStyle w:val="Hyperlink"/>
          </w:rPr>
          <w:t xml:space="preserve">https://doi.org/10.1016/j.ecoleng.2016.06.037</w:t>
        </w:r>
      </w:hyperlink>
      <w:r>
        <w:t xml:space="preserve">.</w:t>
      </w:r>
    </w:p>
    <w:bookmarkEnd w:id="80"/>
    <w:bookmarkStart w:id="82" w:name="ref-thomson-laing_predicting_2020"/>
    <w:p>
      <w:pPr>
        <w:pStyle w:val="Bibliography"/>
      </w:pPr>
      <w:r>
        <w:t xml:space="preserve">Thomson-Laing, Georgia, Jonathan Puddick, and Susanna A Wood. 2020.</w:t>
      </w:r>
      <w:r>
        <w:t xml:space="preserve"> </w:t>
      </w:r>
      <w:r>
        <w:t xml:space="preserve">“Predicting Cyanobacterial Biovolumes from Phycocyanin Fluorescence Using a Handheld Fluorometer in the Field.”</w:t>
      </w:r>
      <w:r>
        <w:t xml:space="preserve"> </w:t>
      </w:r>
      <w:r>
        <w:rPr>
          <w:iCs/>
          <w:i/>
        </w:rPr>
        <w:t xml:space="preserve">Harmful Algae</w:t>
      </w:r>
      <w:r>
        <w:t xml:space="preserve"> </w:t>
      </w:r>
      <w:r>
        <w:t xml:space="preserve">97 (July): 101869.</w:t>
      </w:r>
      <w:r>
        <w:t xml:space="preserve"> </w:t>
      </w:r>
      <w:hyperlink r:id="rId81">
        <w:r>
          <w:rPr>
            <w:rStyle w:val="Hyperlink"/>
          </w:rPr>
          <w:t xml:space="preserve">https://doi.org/10.1016/j.hal.2020.101869</w:t>
        </w:r>
      </w:hyperlink>
      <w:r>
        <w:t xml:space="preserve">.</w:t>
      </w:r>
    </w:p>
    <w:bookmarkEnd w:id="82"/>
    <w:bookmarkStart w:id="84"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83">
        <w:r>
          <w:rPr>
            <w:rStyle w:val="Hyperlink"/>
          </w:rPr>
          <w:t xml:space="preserve">https://doi.org/10.4319/lo.2010.55.5.2025</w:t>
        </w:r>
      </w:hyperlink>
      <w:r>
        <w:t xml:space="preserve">.</w:t>
      </w:r>
    </w:p>
    <w:bookmarkEnd w:id="84"/>
    <w:bookmarkStart w:id="86"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85">
        <w:r>
          <w:rPr>
            <w:rStyle w:val="Hyperlink"/>
          </w:rPr>
          <w:t xml:space="preserve">https://doi.org/10.1039/C1EM10819K</w:t>
        </w:r>
      </w:hyperlink>
      <w:r>
        <w:t xml:space="preserve">.</w:t>
      </w:r>
    </w:p>
    <w:bookmarkEnd w:id="86"/>
    <w:bookmarkEnd w:id="87"/>
    <w:bookmarkEnd w:id="88"/>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2024-04-18T15:39:08Z</dcterms:created>
  <dcterms:modified xsi:type="dcterms:W3CDTF">2024-04-18T15:39:08Z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