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1.jpg" ContentType="image/jpeg"/>
  <Override PartName="/word/media/rId35.jpg" ContentType="image/jpeg"/>
  <Override PartName="/word/media/rId39.jpg" ContentType="image/jpeg"/>
  <Override PartName="/word/media/rId42.jpg" ContentType="image/jpeg"/>
  <Override PartName="/word/media/rId45.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These blooms may impact both human and environmental health, particularly if toxins are being produced. CyanoHAB blooms are often transient in nature, can be difficult to accurately quantify, and occur in diverse waterbodies across large spatial scales. Despite occuring on large scales, effects of blooms have primarily local impacts and can differ in species composition and toxicity based on local conditions.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 a 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Estimation problems can also result from differing community composition, particularly if colonial cyanobacteria are present as the interior of large colonies will not fluoresce as readily as the exterior. Finally, the physical properties of the sample water can greatly affect fluorescence readings based on turbidity levels and the presence of CDOM. Some instruments offer a yellow substance correction to help account for CDOM while others do not.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26"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2" w:name="field-sampling-methods"/>
    <w:p>
      <w:pPr>
        <w:pStyle w:val="Heading2"/>
      </w:pPr>
      <w:r>
        <w:t xml:space="preserve">Field Sampling Methods</w:t>
      </w:r>
    </w:p>
    <w:p>
      <w:pPr>
        <w:pStyle w:val="FirstParagraph"/>
      </w:pPr>
      <w:r>
        <w:t xml:space="preserve">Field samples were collected from eight ponds in Rhode Island during October and November 2021.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bookmarkEnd w:id="22"/>
    <w:bookmarkStart w:id="23"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 a 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3"/>
    <w:bookmarkStart w:id="24"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4"/>
    <w:bookmarkStart w:id="25" w:name="statistical-analysis"/>
    <w:p>
      <w:pPr>
        <w:pStyle w:val="Heading2"/>
      </w:pPr>
      <w:r>
        <w:t xml:space="preserve">Statistical Analysis</w:t>
      </w:r>
    </w:p>
    <w:p>
      <w:pPr>
        <w:pStyle w:val="FirstParagraph"/>
      </w:pPr>
      <w:r>
        <w:t xml:space="preserve">Make some comment about why no 1:1 line, using regression and r2 to compare sensors</w:t>
      </w:r>
    </w:p>
    <w:bookmarkEnd w:id="25"/>
    <w:bookmarkEnd w:id="26"/>
    <w:bookmarkStart w:id="52" w:name="results"/>
    <w:p>
      <w:pPr>
        <w:pStyle w:val="Heading1"/>
      </w:pPr>
      <w:r>
        <w:t xml:space="preserve">Results</w:t>
      </w:r>
    </w:p>
    <w:p>
      <w:pPr>
        <w:pStyle w:val="FirstParagraph"/>
      </w:pPr>
      <w:r>
        <w:t xml:space="preserve">Extracted chlorophyll measurements ranged from 3.2 ug/L (Indian Lake ) to 81.3 ug/L (Mashapaug Pond). Chlorophyll measurements for all instruments followed the same general pattern as the extracted chlorophyll values (Figure 2).  The Algaetorch and Phycoprobe measurements exhibited a strong relationship with extracted chlorophyll concentrations with R2 values of 0.82 and 0.81, respectively.  The Cyanofluor (R2=0.35) and Trilogy in vivo (R2=0.34) measurements increased as extracted chlorophyll concentrations increased, but the relationship was not as strong compared to the other instruments.</w:t>
      </w:r>
    </w:p>
    <w:p>
      <w:pPr>
        <w:pStyle w:val="BodyText"/>
      </w:pPr>
      <w:r>
        <w:t xml:space="preserve">Extracted phycocyanin measurements ranged from 1.3 ug/L (Indian Lake) to 75.0 ug/L (Mashapaug Pond). The Algaetorch (r2=0.86) and Phycoprobe (r2=0.84) were strongly related to extracted phycocyanin concentrations but were not directly comparable as both measurements were of cyanobacteria as chlorophyll instead of a direct measure of phycocyanin (Figure 3). Phycocyanin measurements for the Fluorosense (r2=0.96) and the Cyanofluor (r2=0.78) were also strongly related with extracted phycocyanin . </w:t>
      </w:r>
    </w:p>
    <w:p>
      <w:pPr>
        <w:pStyle w:val="BodyText"/>
      </w:pPr>
      <w:r>
        <w:t xml:space="preserve">Cyanophytes were the dominant taxa by relative biovolume at Curran (0.75), Mashapaug (0.87), and Warwick (0.89); Chrysophytes at Barber (0.39) and Yawgoo (0.44); and Bacillariophytes at Indian (0.41)(Figure 4).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)(Figure 5). Microcystis was the dominant genus at Mashapaug and Warwick, while Chrysosporum was dominant at Curran (Table 1).</w:t>
      </w:r>
    </w:p>
    <w:p>
      <w:pPr>
        <w:pStyle w:val="BodyText"/>
      </w:pPr>
      <w:r>
        <w:t xml:space="preserve">Extracted chlorophyll a was the most strongly correlated with cyanobacterial cell counts (r2=0.92) followed by the algaetorch (r2=0.78) and the Phycoprobe (r2=0.59). The Cyanofluor (r2=0.12) and Trilogy in vivo module (0.11) were weakly correlated (Figure 6). Phycocyanin measurements from all instruments were strongly correlated with cell counts (r2 between 0.9 and 0.97)(Figure 7).</w:t>
      </w:r>
    </w:p>
    <w:bookmarkStart w:id="30" w:name="summary-of-data"/>
    <w:p>
      <w:pPr>
        <w:pStyle w:val="Heading2"/>
      </w:pPr>
      <w:r>
        <w:t xml:space="preserve">Summary of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10000" cy="2540000"/>
                  <wp:effectExtent b="0" l="0" r="0" t="0"/>
                  <wp:docPr descr="" title="" id="28" name="Picture"/>
                  <a:graphic>
                    <a:graphicData uri="http://schemas.openxmlformats.org/drawingml/2006/picture">
                      <pic:pic>
                        <pic:nvPicPr>
                          <pic:cNvPr descr="images/fig1_map.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Field Sites</w:t>
            </w:r>
          </w:p>
        </w:tc>
      </w:tr>
    </w:tbl>
    <w:bookmarkEnd w:id="30"/>
    <w:bookmarkStart w:id="34" w:name="chlorophyll"/>
    <w:p>
      <w:pPr>
        <w:pStyle w:val="Heading2"/>
      </w:pPr>
      <w:r>
        <w:t xml:space="preserve">Chlorophyll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10000" cy="2540000"/>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tc>
      </w:tr>
    </w:tbl>
    <w:bookmarkEnd w:id="34"/>
    <w:bookmarkStart w:id="38" w:name="phycocyanin"/>
    <w:p>
      <w:pPr>
        <w:pStyle w:val="Heading2"/>
      </w:pPr>
      <w:r>
        <w:t xml:space="preserve">Phycocyanin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10000" cy="2540000"/>
                  <wp:effectExtent b="0" l="0" r="0" t="0"/>
                  <wp:docPr descr="" title="" id="36" name="Picture"/>
                  <a:graphic>
                    <a:graphicData uri="http://schemas.openxmlformats.org/drawingml/2006/picture">
                      <pic:pic>
                        <pic:nvPicPr>
                          <pic:cNvPr descr="images/fig3_phyco_scatter.jpg" id="37"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tc>
      </w:tr>
    </w:tbl>
    <w:bookmarkEnd w:id="38"/>
    <w:bookmarkStart w:id="51" w:name="phytoplankton-counts-1"/>
    <w:p>
      <w:pPr>
        <w:pStyle w:val="Heading2"/>
      </w:pPr>
      <w:r>
        <w:t xml:space="preserve">Phytoplankton Counts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962400"/>
                  <wp:effectExtent b="0" l="0" r="0" t="0"/>
                  <wp:docPr descr="" title="" id="40" name="Picture"/>
                  <a:graphic>
                    <a:graphicData uri="http://schemas.openxmlformats.org/drawingml/2006/picture">
                      <pic:pic>
                        <pic:nvPicPr>
                          <pic:cNvPr descr="images/fig4_rel_bio_bar.jpg" id="41" name="Picture"/>
                          <pic:cNvPicPr>
                            <a:picLocks noChangeArrowheads="1" noChangeAspect="1"/>
                          </pic:cNvPicPr>
                        </pic:nvPicPr>
                        <pic:blipFill>
                          <a:blip r:embed="rId39"/>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10000" cy="2540000"/>
                  <wp:effectExtent b="0" l="0" r="0" t="0"/>
                  <wp:docPr descr="" title="" id="43" name="Picture"/>
                  <a:graphic>
                    <a:graphicData uri="http://schemas.openxmlformats.org/drawingml/2006/picture">
                      <pic:pic>
                        <pic:nvPicPr>
                          <pic:cNvPr descr="images/fig5_total_bio_bar.jpg" id="44"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10000" cy="2540000"/>
                  <wp:effectExtent b="0" l="0" r="0" t="0"/>
                  <wp:docPr descr="" title="" id="46" name="Picture"/>
                  <a:graphic>
                    <a:graphicData uri="http://schemas.openxmlformats.org/drawingml/2006/picture">
                      <pic:pic>
                        <pic:nvPicPr>
                          <pic:cNvPr descr="images/fig6_chl_vs_cells.jpg" id="47"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10000" cy="2540000"/>
                  <wp:effectExtent b="0" l="0" r="0" t="0"/>
                  <wp:docPr descr="" title="" id="49" name="Picture"/>
                  <a:graphic>
                    <a:graphicData uri="http://schemas.openxmlformats.org/drawingml/2006/picture">
                      <pic:pic>
                        <pic:nvPicPr>
                          <pic:cNvPr descr="images/fig7_phyco_vs_cells.jpg"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tc>
      </w:tr>
    </w:tbl>
    <w:p>
      <w:pPr>
        <w:pStyle w:val="BodyText"/>
      </w:pPr>
      <w:r>
        <w:t xml:space="preserve">Table 1. Waterbody, Cyano Genus, Relative Biovolume Total Biovolume</w:t>
      </w:r>
    </w:p>
    <w:p>
      <w:pPr>
        <w:pStyle w:val="SourceCode"/>
      </w:pPr>
      <w:r>
        <w:rPr>
          <w:rStyle w:val="VerbatimChar"/>
        </w:rPr>
        <w:t xml:space="preserve">Warning: package 'dplyr' was built under R version 4.2.3</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(table1)</w:t>
      </w:r>
    </w:p>
    <w:tbl>
      <w:tblPr>
        <w:tblStyle w:val="Table"/>
        <w:tblW w:type="pct" w:w="5000"/>
        <w:tblLook w:firstRow="1" w:lastRow="0" w:firstColumn="0" w:lastColumn="0" w:noHBand="0" w:noVBand="0" w:val="0020"/>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51"/>
    <w:bookmarkEnd w:id="52"/>
    <w:bookmarkStart w:id="55"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 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 a at higher algal concentrations (Hambdhani et al. 2021). Therefore, using this particular instrument to enforce set criteria across a variety of waterbodies would probably not be recommended without further research. 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(Thomson-Laing et al. 2020). They also found stronger relationships for environmental samples in lakes that were cyanobacteria dominated compared to more diverse lakes. All of these instruments could be used to effectively monitor for the presence of cyanobacteria by measuring more direct parameters of cyanobacteria than chlorophyll a.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in-vivo concentrations of chlorophyll (Zamyadi et al . 2012).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 a concentrations below 100 ug/L but not above, but the present study did not have study ponds that exceed 100 ug/L (Silva et al. 2016). This study supports the use of extracted chlorophll and phycocyanin as an alternative to cell counts for the study waterbodies. Currently, in vivo chlorophyll a 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p>
      <w:pPr>
        <w:pStyle w:val="BodyText"/>
      </w:pPr>
      <w:r>
        <w:t xml:space="preserve">Jeff’s take home:</w:t>
      </w:r>
    </w:p>
    <w:p>
      <w:pPr>
        <w:pStyle w:val="BodyText"/>
      </w:pPr>
      <w:r>
        <w:t xml:space="preserve">1.) In general, in situ phycocyanin better match to extracted than in situ chlorophyll is to extracted. The cholorophylll relationship is driven by phytoplankton community make up</w:t>
      </w:r>
    </w:p>
    <w:p>
      <w:pPr>
        <w:pStyle w:val="BodyText"/>
      </w:pPr>
      <w:r>
        <w:t xml:space="preserve">2.) Extracted chlorophyll and phycocyanin, are great match to cell counts. Suggests pigments are a good proxy for cell counts and could be used in place of cell counts.</w:t>
      </w:r>
    </w:p>
    <w:p>
      <w:pPr>
        <w:pStyle w:val="BodyText"/>
      </w:pPr>
      <w:r>
        <w:t xml:space="preserve">3.) A discussion with water quality managers about using extracted or in situ phycocyanin as a replacement for cell counts might be warranted.</w:t>
      </w:r>
    </w:p>
    <w:p>
      <w:pPr>
        <w:pStyle w:val="BodyText"/>
      </w:pPr>
      <w:r>
        <w:t xml:space="preserve">For some instruments, chlorophyll is good but for others it is not so good. Part of the variability can be explained by phytoplankton community distributions</w:t>
      </w:r>
    </w:p>
    <w:p>
      <w:pPr>
        <w:pStyle w:val="BodyText"/>
      </w:pPr>
      <w:r>
        <w:t xml:space="preserve">Phycocyanin is good for all instruments.</w:t>
      </w:r>
    </w:p>
    <w:p>
      <w:pPr>
        <w:pStyle w:val="BodyText"/>
      </w:pPr>
      <w:r>
        <w:t xml:space="preserve">Don’t read anything into absolute values (i.e. chlorophyll from one sensor not equal to chlorophyll from another sensor) across sensors, but general patterns are still very useful. Need to know info about specific sites to be useful.</w:t>
      </w:r>
    </w:p>
    <w:p>
      <w:pPr>
        <w:pStyle w:val="BodyText"/>
      </w:pPr>
      <w:r>
        <w:t xml:space="preserve">Phycocyanin very good proxy for cell counts. Suggest replacing cell counts for waterbody listing decisions with phycocyanin. Would likely need additional work to furhter explore relationship, build predictive models of cell coutns, etc.</w:t>
      </w:r>
    </w:p>
    <w:p>
      <w:pPr>
        <w:pStyle w:val="BodyText"/>
      </w:pPr>
      <w:r>
        <w:t xml:space="preserve">Extracted chla and phyco good for cell counts. Outliers for instruments don’t throw off either extracted measurements.</w:t>
      </w:r>
    </w:p>
    <w:bookmarkStart w:id="53" w:name="acknowledgements"/>
    <w:p>
      <w:pPr>
        <w:pStyle w:val="Heading2"/>
      </w:pPr>
      <w:r>
        <w:t xml:space="preserve">Acknowledgements</w:t>
      </w:r>
    </w:p>
    <w:p>
      <w:pPr>
        <w:pStyle w:val="FirstParagraph"/>
      </w:pPr>
      <w:r>
        <w:t xml:space="preserve">And special thanks to Gracie, Anastasia, and Lilac for emotional support during challenging analysis times.</w:t>
      </w:r>
    </w:p>
    <w:bookmarkEnd w:id="53"/>
    <w:bookmarkStart w:id="54" w:name="references"/>
    <w:p>
      <w:pPr>
        <w:pStyle w:val="Heading2"/>
      </w:pPr>
      <w:r>
        <w:t xml:space="preserve">References</w:t>
      </w:r>
    </w:p>
    <w:bookmarkEnd w:id="54"/>
    <w:bookmarkEnd w:id="55"/>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2"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2023-11-29T21:20:50Z</dcterms:created>
  <dcterms:modified xsi:type="dcterms:W3CDTF">2023-11-29T21:20:50Z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