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w:t>
      </w:r>
      <w:r>
        <w:t xml:space="preserve"> </w:t>
      </w:r>
      <w:r>
        <w:t xml:space="preserve">in</w:t>
      </w:r>
      <w:r>
        <w:t xml:space="preserve"> </w:t>
      </w:r>
      <w:r>
        <w:t xml:space="preserve">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advanced</w:t>
      </w:r>
      <w:r>
        <w:t xml:space="preserve"> </w:t>
      </w:r>
      <w:r>
        <w:t xml:space="preserve">laboratory</w:t>
      </w:r>
      <w:r>
        <w:t xml:space="preserve"> </w:t>
      </w:r>
      <w:r>
        <w:t xml:space="preserve">processes</w:t>
      </w:r>
      <w:r>
        <w:t xml:space="preserve"> </w:t>
      </w:r>
      <w:r>
        <w:t xml:space="preserve">(e.g. pigment</w:t>
      </w:r>
      <w:r>
        <w:t xml:space="preserve"> </w:t>
      </w:r>
      <w:r>
        <w:t xml:space="preserve">extraction).</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w:t>
      </w:r>
      <w:r>
        <w:t xml:space="preserve"> </w:t>
      </w:r>
      <w:r>
        <w:t xml:space="preserve">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w:t>
      </w:r>
      <w:r>
        <w:t xml:space="preserve"> </w:t>
      </w:r>
      <w:r>
        <w:t xml:space="preserve">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w:t>
      </w:r>
      <w:r>
        <w:t xml:space="preserve"> </w:t>
      </w:r>
      <w:r>
        <w:t xml:space="preserve">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w:t>
      </w:r>
      <w:r>
        <w:t xml:space="preserve"> </w:t>
      </w:r>
      <w:r>
        <w:t xml:space="preserve">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w:t>
      </w:r>
      <w:r>
        <w:t xml:space="preserve"> </w:t>
      </w:r>
      <w:r>
        <w:t xml:space="preserve">vivo</w:t>
      </w:r>
      <w:r>
        <w:t xml:space="preserve"> </w:t>
      </w:r>
      <w:r>
        <w:t xml:space="preserve">fluorometry</w:t>
      </w:r>
      <w:r>
        <w:t xml:space="preserve"> </w:t>
      </w:r>
      <w:r>
        <w:t xml:space="preserve">and</w:t>
      </w:r>
      <w:r>
        <w:t xml:space="preserve"> </w:t>
      </w:r>
      <w:r>
        <w:t xml:space="preserve">phycocyanin</w:t>
      </w:r>
      <w:r>
        <w:t xml:space="preserve"> </w:t>
      </w:r>
      <w:r>
        <w:t xml:space="preserve">for</w:t>
      </w:r>
      <w:r>
        <w:t xml:space="preserve"> </w:t>
      </w:r>
      <w:r>
        <w:t xml:space="preserve">cyanoHAB</w:t>
      </w:r>
      <w:r>
        <w:t xml:space="preserve"> </w:t>
      </w:r>
      <w:r>
        <w:t xml:space="preserve">monitoring</w:t>
      </w:r>
      <w:r>
        <w:t xml:space="preserve"> </w:t>
      </w:r>
      <w:r>
        <w:t xml:space="preserve">efforts</w:t>
      </w:r>
      <w:r>
        <w:t xml:space="preserve"> </w:t>
      </w:r>
      <w:r>
        <w:t xml:space="preserve">and</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w:t>
      </w:r>
      <w:r>
        <w:t xml:space="preserve">Paerl et al. (2016)</w:t>
      </w:r>
      <w:r>
        <w:t xml:space="preserve">;</w:t>
      </w:r>
      <w:r>
        <w:t xml:space="preserve"> </w:t>
      </w:r>
      <w:r>
        <w:t xml:space="preserve">Schindler et al. (2008)</w:t>
      </w:r>
      <w:r>
        <w:t xml:space="preserve">). These blooms may impact both human and environmental health, particularly if toxins are being produced. CyanoHAB blooms are often transient in nature, can be difficult to accurately quantify, and occur in diverse waterbodies across large spatial scales (</w:t>
      </w:r>
      <w:r>
        <w:t xml:space="preserve">Wynne et al. (2010)</w:t>
      </w:r>
      <w:r>
        <w:t xml:space="preserve">).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on a smaller, more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designed to measure chlorophyll</w:t>
      </w:r>
      <w:r>
        <w:t xml:space="preserve"> </w:t>
      </w:r>
      <w:r>
        <w:rPr>
          <w:iCs/>
          <w:i/>
        </w:rPr>
        <w:t xml:space="preserve">a</w:t>
      </w:r>
      <w:r>
        <w:t xml:space="preserve"> </w:t>
      </w:r>
      <w:r>
        <w:t xml:space="preserve">and/or phycocyanin using in vivo fluorescence without an extraction step. These instruments distinguish between the pigments based on their differing emission spectra. Some instruments (i.e. PhycoProbe) use multiple leds at varying wavelengths to cause excitation and emission of different algal type pigments, thus creating a finer scale breakdown of community composition (</w:t>
      </w:r>
      <w:r>
        <w:t xml:space="preserve">Beutler et al. (2002)</w:t>
      </w:r>
      <w:r>
        <w:t xml:space="preserve">). These instruments can be used in the field, the lab, a combination of both, and have a wide range in cost.</w:t>
      </w:r>
    </w:p>
    <w:p>
      <w:pPr>
        <w:pStyle w:val="BodyText"/>
      </w:pPr>
      <w:r>
        <w:t xml:space="preserve">Field instruments may be placed directly in a waterbody or require sample water to be poured into a cuvette and then placed into a handheld fluorometer. Differences in measurement methods represent a potential source of error when comparing instruments. Additionally, instruments may report values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w:t>
      </w:r>
      <w:r>
        <w:t xml:space="preserve">Liu and Georgakakos (2021)</w:t>
      </w:r>
      <w:r>
        <w:t xml:space="preserve">). Estimation problems can also result from differing phytoplankton/cyanobacteria community composition and growth stage, particularly if colonial cyanobacteria are present as the interior of large colonies will not fluoresce as readily as the exterior (</w:t>
      </w:r>
      <w:r>
        <w:t xml:space="preserve">Rousso et al. (2022)</w:t>
      </w:r>
      <w:r>
        <w:t xml:space="preserve">). Additionally, the physical properties of the sample water can greatly affect fluorescence readings based on turbidity levels and the presence of colored dissolved organic matter (CDOM). Some instruments offer a yellow substance correction to help account for CDOM while others do not (</w:t>
      </w:r>
      <w:r>
        <w:t xml:space="preserve">Cremella, Huot, and Bonilla (2018)</w:t>
      </w:r>
      <w:r>
        <w:t xml:space="preserve">).</w:t>
      </w:r>
    </w:p>
    <w:p>
      <w:pPr>
        <w:pStyle w:val="BodyText"/>
      </w:pPr>
      <w:r>
        <w:t xml:space="preserve">Overall, the physical properties and phytoplankton community composition of a waterbody can cause instruments to estimate pigment concentrations differently. How the different instruments handle these various potential situations can affect their accuracy and precision, and the ability to compare across instrument types. The goal of this paper is to compare several handheld and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For this study, we used five fluorometers that are commonly used by our collaborators in the northeast US. In decreasing order of cost, they are: bbe PhycoProbe, bbe AlgaeTorch, Turner Trilogy (in vivo chlorophyll and orange modules), Turner Cyanofluor, and Turner FluoroSense.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six ponds in Rhode Island. (</w:t>
      </w:r>
      <w:hyperlink w:anchor="fig-map">
        <w:r>
          <w:rPr>
            <w:rStyle w:val="Hyperlink"/>
          </w:rPr>
          <w:t xml:space="preserve">Figure 1</w:t>
        </w:r>
      </w:hyperlink>
      <w:r>
        <w:t xml:space="preserve">). Samples from Barber, Indian and Yawgoo were collected on 2021-10-06 and samples from Curran, Mashapaug, and Warwick were collected on 2021-10-22. Surface samples were collected in triplicate by wading into each pond to a minimum depth of two feet to avoid collecting near the sediment. If a surface scum was present, the scum was gently brushed aside to avoid being collected in the sample bottles. Samples were collected in acid-washed 1 L amber bottles, placed in a cooler with ice, and stored at 4°C until analysis.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tblPr>
      <w:tblGrid>
        <w:gridCol w:w="7920"/>
      </w:tblGrid>
      <w:tr>
        <w:tc>
          <w:tcPr/>
          <w:bookmarkStart w:id="25" w:name="fig-map"/>
          <w:p>
            <w:pPr>
              <w:pStyle w:val="Figure"/>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three replicates (i.e. lab replicates to assess precision) from each field sample were analyzed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 vivo module. Chlorophyll</w:t>
      </w:r>
      <w:r>
        <w:t xml:space="preserve"> </w:t>
      </w:r>
      <w:r>
        <w:rPr>
          <w:iCs/>
          <w:i/>
        </w:rPr>
        <w:t xml:space="preserve">a</w:t>
      </w:r>
      <w:r>
        <w:t xml:space="preserve"> </w:t>
      </w:r>
      <w:r>
        <w:t xml:space="preserve">was extracted by placing frozen GF/F filters in centrifuge tubes with 90% acetone, then placing the tubes for a 20 minute period in a sonicating water bath to lyse cyanobacterial cells (@welschmeyer1994fluorometric). Phycocyanin was extracted from frozen GF/F filters using a 50 mM phosphate buffer as the extraction solvent and following a 15 minute period in a sonicating water bath to lyse cyanobacterial cells (@kasinak2015benchtop).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All phytoplankton samples were collected on 2021-10-06. Water samples for phytoplankton identification and enumeration were decanted from field collected samples into 250 ml amber HDPE bottles and were preserved with 25% glutaraldehyde. Samples were stored at 4°C and shipped the week after collection on ice to Phycotech, Inc. A minimum of 400 natural units were counted per sample, and quantitative biovolume estimates were also performed for each sample. A full description of methods and a quality assurance plan are available from Phycotech, Inc. (https://www.phycotech.com/Portals/0/PDFs/PhycoTech_INFO_PACKET.pdf).</w:t>
      </w:r>
    </w:p>
    <w:bookmarkEnd w:id="28"/>
    <w:bookmarkStart w:id="29" w:name="data-analysis"/>
    <w:p>
      <w:pPr>
        <w:pStyle w:val="Heading2"/>
      </w:pPr>
      <w:r>
        <w:t xml:space="preserve">Data Analysis</w:t>
      </w:r>
    </w:p>
    <w:p>
      <w:pPr>
        <w:pStyle w:val="FirstParagraph"/>
      </w:pPr>
      <w:r>
        <w:t xml:space="preserve">To compare extracted concentrations and cell counts to the various instruments we used simple linear regression and scatterplots. For these regressions and scatterplots, the lab replicates were averaged, resulting in three field replicates for each of the waterbodies. We derived the coefficient of determination from the regressions as a measure of fit and also qualitatively compared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56"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a mean of 1.3 ug/L in Indian Lake to a mean of 32.2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tblPr>
      <w:tblGrid>
        <w:gridCol w:w="7920"/>
      </w:tblGrid>
      <w:tr>
        <w:tc>
          <w:tcPr/>
          <w:bookmarkStart w:id="34" w:name="fig-chlascatter"/>
          <w:p>
            <w:pPr>
              <w:pStyle w:val="Figure"/>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p>
      <w:pPr>
        <w:pStyle w:val="BodyText"/>
      </w:pPr>
      <w:r>
        <w:t xml:space="preserve"> </w:t>
      </w:r>
    </w:p>
    <w:bookmarkStart w:id="35" w:name="tbl-chlsummary"/>
    <w:p>
      <w:pPr>
        <w:pStyle w:val="TableCaption"/>
      </w:pPr>
      <w:r>
        <w:t xml:space="preserve">Table 1: Extracted chlorophyll summary data by waterbody and instrument.</w:t>
      </w:r>
    </w:p>
    <w:tbl>
      <w:tblPr>
        <w:tblStyle w:val="Table"/>
        <w:tblW w:type="auto" w:w="0"/>
        <w:tblLook w:firstRow="1" w:lastRow="0" w:firstColumn="0" w:lastColumn="0" w:noHBand="0" w:noVBand="0" w:val="0020"/>
        <w:tblCaption w:val="Table 1: Extracted chlorophyll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1</w:t>
            </w:r>
          </w:p>
        </w:tc>
        <w:tc>
          <w:tcPr/>
          <w:p>
            <w:pPr>
              <w:pStyle w:val="Compact"/>
              <w:jc w:val="left"/>
            </w:pPr>
            <w:r>
              <w:t xml:space="preserve">barber</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4.5</w:t>
            </w:r>
          </w:p>
        </w:tc>
        <w:tc>
          <w:tcPr/>
          <w:p>
            <w:pPr>
              <w:pStyle w:val="Compact"/>
              <w:jc w:val="right"/>
            </w:pPr>
            <w:r>
              <w:t xml:space="preserve">0.2</w:t>
            </w:r>
          </w:p>
        </w:tc>
      </w:tr>
      <w:tr>
        <w:tc>
          <w:tcPr/>
          <w:p>
            <w:pPr>
              <w:pStyle w:val="Compact"/>
              <w:jc w:val="left"/>
            </w:pPr>
            <w:r>
              <w:t xml:space="preserve">3</w:t>
            </w:r>
          </w:p>
        </w:tc>
        <w:tc>
          <w:tcPr/>
          <w:p>
            <w:pPr>
              <w:pStyle w:val="Compact"/>
              <w:jc w:val="left"/>
            </w:pPr>
            <w:r>
              <w:t xml:space="preserve">curran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19.6</w:t>
            </w:r>
          </w:p>
        </w:tc>
        <w:tc>
          <w:tcPr/>
          <w:p>
            <w:pPr>
              <w:pStyle w:val="Compact"/>
              <w:jc w:val="right"/>
            </w:pPr>
            <w:r>
              <w:t xml:space="preserve">0.2</w:t>
            </w:r>
          </w:p>
        </w:tc>
      </w:tr>
      <w:tr>
        <w:tc>
          <w:tcPr/>
          <w:p>
            <w:pPr>
              <w:pStyle w:val="Compact"/>
              <w:jc w:val="left"/>
            </w:pPr>
            <w:r>
              <w:t xml:space="preserve">5</w:t>
            </w:r>
          </w:p>
        </w:tc>
        <w:tc>
          <w:tcPr/>
          <w:p>
            <w:pPr>
              <w:pStyle w:val="Compact"/>
              <w:jc w:val="left"/>
            </w:pPr>
            <w:r>
              <w:t xml:space="preserve">indian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1.3</w:t>
            </w:r>
          </w:p>
        </w:tc>
        <w:tc>
          <w:tcPr/>
          <w:p>
            <w:pPr>
              <w:pStyle w:val="Compact"/>
              <w:jc w:val="right"/>
            </w:pPr>
            <w:r>
              <w:t xml:space="preserve">0.0</w:t>
            </w:r>
          </w:p>
        </w:tc>
      </w:tr>
      <w:tr>
        <w:tc>
          <w:tcPr/>
          <w:p>
            <w:pPr>
              <w:pStyle w:val="Compact"/>
              <w:jc w:val="left"/>
            </w:pPr>
            <w:r>
              <w:t xml:space="preserve">7</w:t>
            </w:r>
          </w:p>
        </w:tc>
        <w:tc>
          <w:tcPr/>
          <w:p>
            <w:pPr>
              <w:pStyle w:val="Compact"/>
              <w:jc w:val="left"/>
            </w:pPr>
            <w:r>
              <w:t xml:space="preserve">mashapaug</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32.2</w:t>
            </w:r>
          </w:p>
        </w:tc>
        <w:tc>
          <w:tcPr/>
          <w:p>
            <w:pPr>
              <w:pStyle w:val="Compact"/>
              <w:jc w:val="right"/>
            </w:pPr>
            <w:r>
              <w:t xml:space="preserve">3.6</w:t>
            </w:r>
          </w:p>
        </w:tc>
      </w:tr>
      <w:tr>
        <w:tc>
          <w:tcPr/>
          <w:p>
            <w:pPr>
              <w:pStyle w:val="Compact"/>
              <w:jc w:val="left"/>
            </w:pPr>
            <w:r>
              <w:t xml:space="preserve">9</w:t>
            </w:r>
          </w:p>
        </w:tc>
        <w:tc>
          <w:tcPr/>
          <w:p>
            <w:pPr>
              <w:pStyle w:val="Compact"/>
              <w:jc w:val="left"/>
            </w:pPr>
            <w:r>
              <w:t xml:space="preserve">warwick</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20.0</w:t>
            </w:r>
          </w:p>
        </w:tc>
        <w:tc>
          <w:tcPr/>
          <w:p>
            <w:pPr>
              <w:pStyle w:val="Compact"/>
              <w:jc w:val="right"/>
            </w:pPr>
            <w:r>
              <w:t xml:space="preserve">1.0</w:t>
            </w:r>
          </w:p>
        </w:tc>
      </w:tr>
      <w:tr>
        <w:tc>
          <w:tcPr/>
          <w:p>
            <w:pPr>
              <w:pStyle w:val="Compact"/>
              <w:jc w:val="left"/>
            </w:pPr>
            <w:r>
              <w:t xml:space="preserve">11</w:t>
            </w:r>
          </w:p>
        </w:tc>
        <w:tc>
          <w:tcPr/>
          <w:p>
            <w:pPr>
              <w:pStyle w:val="Compact"/>
              <w:jc w:val="left"/>
            </w:pPr>
            <w:r>
              <w:t xml:space="preserve">yawgoo</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2.8</w:t>
            </w:r>
          </w:p>
        </w:tc>
        <w:tc>
          <w:tcPr/>
          <w:p>
            <w:pPr>
              <w:pStyle w:val="Compact"/>
              <w:jc w:val="right"/>
            </w:pPr>
            <w:r>
              <w:t xml:space="preserve">0.2</w:t>
            </w:r>
          </w:p>
        </w:tc>
      </w:tr>
    </w:tbl>
    <w:bookmarkEnd w:id="35"/>
    <w:bookmarkEnd w:id="36"/>
    <w:bookmarkStart w:id="42" w:name="phycocyanin"/>
    <w:p>
      <w:pPr>
        <w:pStyle w:val="Heading2"/>
      </w:pPr>
      <w:r>
        <w:t xml:space="preserve">Phycocyanin</w:t>
      </w:r>
    </w:p>
    <w:p>
      <w:pPr>
        <w:pStyle w:val="FirstParagraph"/>
      </w:pPr>
      <w:r>
        <w:t xml:space="preserve">Extracted phycocyanin measurements ranged from a mean of 0.2 ug/L in Indian Lake and Barber Pond to 10.5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tblPr>
      <w:tblGrid>
        <w:gridCol w:w="7920"/>
      </w:tblGrid>
      <w:tr>
        <w:tc>
          <w:tcPr/>
          <w:bookmarkStart w:id="40" w:name="fig-phycoscatter"/>
          <w:p>
            <w:pPr>
              <w:pStyle w:val="Figure"/>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p>
      <w:pPr>
        <w:pStyle w:val="BodyText"/>
      </w:pPr>
      <w:r>
        <w:t xml:space="preserve"> </w:t>
      </w:r>
    </w:p>
    <w:bookmarkStart w:id="41" w:name="tbl-phycosummary"/>
    <w:p>
      <w:pPr>
        <w:pStyle w:val="TableCaption"/>
      </w:pPr>
      <w:r>
        <w:t xml:space="preserve">Table 2: Extracted phycocyanin summary data by waterbody and instrument.</w:t>
      </w:r>
    </w:p>
    <w:tbl>
      <w:tblPr>
        <w:tblStyle w:val="Table"/>
        <w:tblW w:type="auto" w:w="0"/>
        <w:tblLook w:firstRow="1" w:lastRow="0" w:firstColumn="0" w:lastColumn="0" w:noHBand="0" w:noVBand="0" w:val="0020"/>
        <w:tblCaption w:val="Table 2: Extracted phycocyanin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2</w:t>
            </w:r>
          </w:p>
        </w:tc>
        <w:tc>
          <w:tcPr/>
          <w:p>
            <w:pPr>
              <w:pStyle w:val="Compact"/>
              <w:jc w:val="left"/>
            </w:pPr>
            <w:r>
              <w:t xml:space="preserve">barber</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4</w:t>
            </w:r>
          </w:p>
        </w:tc>
        <w:tc>
          <w:tcPr/>
          <w:p>
            <w:pPr>
              <w:pStyle w:val="Compact"/>
              <w:jc w:val="left"/>
            </w:pPr>
            <w:r>
              <w:t xml:space="preserve">curran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1.5</w:t>
            </w:r>
          </w:p>
        </w:tc>
        <w:tc>
          <w:tcPr/>
          <w:p>
            <w:pPr>
              <w:pStyle w:val="Compact"/>
              <w:jc w:val="right"/>
            </w:pPr>
            <w:r>
              <w:t xml:space="preserve">0.4</w:t>
            </w:r>
          </w:p>
        </w:tc>
      </w:tr>
      <w:tr>
        <w:tc>
          <w:tcPr/>
          <w:p>
            <w:pPr>
              <w:pStyle w:val="Compact"/>
              <w:jc w:val="left"/>
            </w:pPr>
            <w:r>
              <w:t xml:space="preserve">6</w:t>
            </w:r>
          </w:p>
        </w:tc>
        <w:tc>
          <w:tcPr/>
          <w:p>
            <w:pPr>
              <w:pStyle w:val="Compact"/>
              <w:jc w:val="left"/>
            </w:pPr>
            <w:r>
              <w:t xml:space="preserve">indian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8</w:t>
            </w:r>
          </w:p>
        </w:tc>
        <w:tc>
          <w:tcPr/>
          <w:p>
            <w:pPr>
              <w:pStyle w:val="Compact"/>
              <w:jc w:val="left"/>
            </w:pPr>
            <w:r>
              <w:t xml:space="preserve">mashapaug</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10.5</w:t>
            </w:r>
          </w:p>
        </w:tc>
        <w:tc>
          <w:tcPr/>
          <w:p>
            <w:pPr>
              <w:pStyle w:val="Compact"/>
              <w:jc w:val="right"/>
            </w:pPr>
            <w:r>
              <w:t xml:space="preserve">2.6</w:t>
            </w:r>
          </w:p>
        </w:tc>
      </w:tr>
      <w:tr>
        <w:tc>
          <w:tcPr/>
          <w:p>
            <w:pPr>
              <w:pStyle w:val="Compact"/>
              <w:jc w:val="left"/>
            </w:pPr>
            <w:r>
              <w:t xml:space="preserve">10</w:t>
            </w:r>
          </w:p>
        </w:tc>
        <w:tc>
          <w:tcPr/>
          <w:p>
            <w:pPr>
              <w:pStyle w:val="Compact"/>
              <w:jc w:val="left"/>
            </w:pPr>
            <w:r>
              <w:t xml:space="preserve">warwick</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2.4</w:t>
            </w:r>
          </w:p>
        </w:tc>
        <w:tc>
          <w:tcPr/>
          <w:p>
            <w:pPr>
              <w:pStyle w:val="Compact"/>
              <w:jc w:val="right"/>
            </w:pPr>
            <w:r>
              <w:t xml:space="preserve">0.5</w:t>
            </w:r>
          </w:p>
        </w:tc>
      </w:tr>
      <w:tr>
        <w:tc>
          <w:tcPr/>
          <w:p>
            <w:pPr>
              <w:pStyle w:val="Compact"/>
              <w:jc w:val="left"/>
            </w:pPr>
            <w:r>
              <w:t xml:space="preserve">12</w:t>
            </w:r>
          </w:p>
        </w:tc>
        <w:tc>
          <w:tcPr/>
          <w:p>
            <w:pPr>
              <w:pStyle w:val="Compact"/>
              <w:jc w:val="left"/>
            </w:pPr>
            <w:r>
              <w:t xml:space="preserve">yawgoo</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w:t>
            </w:r>
          </w:p>
        </w:tc>
        <w:tc>
          <w:tcPr/>
          <w:p>
            <w:pPr>
              <w:pStyle w:val="Compact"/>
              <w:jc w:val="right"/>
            </w:pPr>
            <w:r>
              <w:t xml:space="preserve">0.1</w:t>
            </w:r>
          </w:p>
        </w:tc>
      </w:tr>
    </w:tbl>
    <w:bookmarkEnd w:id="41"/>
    <w:bookmarkEnd w:id="42"/>
    <w:bookmarkStart w:id="55" w:name="phytoplankton-counts-1"/>
    <w:p>
      <w:pPr>
        <w:pStyle w:val="Heading2"/>
      </w:pPr>
      <w:r>
        <w:t xml:space="preserve">Phytoplankton Counts</w:t>
      </w:r>
    </w:p>
    <w:p>
      <w:pPr>
        <w:pStyle w:val="FirstParagraph"/>
      </w:pPr>
      <w:r>
        <w:t xml:space="preserve">!!! REWRITE ME - Changed from biov to cells/ml, only one fig now !!!! !!! Cyanobaceteria Cell Counts are natural units / mL !!!!</w:t>
      </w:r>
    </w:p>
    <w:p>
      <w:pPr>
        <w:pStyle w:val="BodyText"/>
      </w:pPr>
      <w:r>
        <w:t xml:space="preserve">Cyanophytes were the dominant taxa at all waterbodies with the highest concentrations observed at Curran (38,019 natural units/mL), Mashapaug (89,806 natural units/mL), and Warwick (45,847 natural units/mL)(</w:t>
      </w:r>
      <w:hyperlink w:anchor="fig-cellsml">
        <w:r>
          <w:rPr>
            <w:rStyle w:val="Hyperlink"/>
          </w:rPr>
          <w:t xml:space="preserve">Figure 4</w:t>
        </w:r>
      </w:hyperlink>
      <w:r>
        <w:t xml:space="preserve">).  Total concentrations were highest at Mashapaug (92,527 natural units/mL), Warwick (70,728 natural units/mL), and Curran (40,428 natural units/mL).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tblPr>
      <w:tblGrid>
        <w:gridCol w:w="7920"/>
      </w:tblGrid>
      <w:tr>
        <w:tc>
          <w:tcPr/>
          <w:bookmarkStart w:id="46" w:name="fig-cellsml"/>
          <w:p>
            <w:pPr>
              <w:pStyle w:val="Figure"/>
              <w:jc w:val="center"/>
            </w:pPr>
            <w:r>
              <w:drawing>
                <wp:inline>
                  <wp:extent cx="5943600" cy="3671047"/>
                  <wp:effectExtent b="0" l="0" r="0" t="0"/>
                  <wp:docPr descr="" title="" id="44" name="Picture"/>
                  <a:graphic>
                    <a:graphicData uri="http://schemas.openxmlformats.org/drawingml/2006/picture">
                      <pic:pic>
                        <pic:nvPicPr>
                          <pic:cNvPr descr="images/fig4_total_cellsml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Cells/mL of divisions by waterbody</w:t>
            </w:r>
          </w:p>
          <w:bookmarkEnd w:id="46"/>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5</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6</w:t>
        </w:r>
      </w:hyperlink>
      <w:r>
        <w:t xml:space="preserve">).</w:t>
      </w:r>
    </w:p>
    <w:tbl>
      <w:tblPr>
        <w:tblStyle w:val="Table"/>
        <w:tblW w:type="pct" w:w="5000"/>
        <w:tblLook w:firstRow="0" w:lastRow="0" w:firstColumn="0" w:lastColumn="0" w:noHBand="0" w:noVBand="0" w:val="0000"/>
      </w:tblPr>
      <w:tblGrid>
        <w:gridCol w:w="7920"/>
      </w:tblGrid>
      <w:tr>
        <w:tc>
          <w:tcPr/>
          <w:bookmarkStart w:id="50" w:name="fig-chlcount"/>
          <w:p>
            <w:pPr>
              <w:pStyle w:val="Figure"/>
              <w:jc w:val="center"/>
            </w:pPr>
            <w:r>
              <w:drawing>
                <wp:inline>
                  <wp:extent cx="5943600" cy="3671047"/>
                  <wp:effectExtent b="0" l="0" r="0" t="0"/>
                  <wp:docPr descr="" title="" id="48" name="Picture"/>
                  <a:graphic>
                    <a:graphicData uri="http://schemas.openxmlformats.org/drawingml/2006/picture">
                      <pic:pic>
                        <pic:nvPicPr>
                          <pic:cNvPr descr="images/fig5_chl_vs_cells.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fluorometer chlorophyll to cyanobacteria cell counts</w:t>
            </w:r>
          </w:p>
          <w:bookmarkEnd w:id="5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4" w:name="fig-phycocount"/>
          <w:p>
            <w:pPr>
              <w:pStyle w:val="Figure"/>
              <w:jc w:val="center"/>
            </w:pPr>
            <w:r>
              <w:drawing>
                <wp:inline>
                  <wp:extent cx="5943600" cy="3671047"/>
                  <wp:effectExtent b="0" l="0" r="0" t="0"/>
                  <wp:docPr descr="" title="" id="52" name="Picture"/>
                  <a:graphic>
                    <a:graphicData uri="http://schemas.openxmlformats.org/drawingml/2006/picture">
                      <pic:pic>
                        <pic:nvPicPr>
                          <pic:cNvPr descr="images/fig6_phyco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phycocyanin to cyanobacteria cell counts</w:t>
            </w:r>
          </w:p>
          <w:bookmarkEnd w:id="54"/>
        </w:tc>
      </w:tr>
    </w:tbl>
    <w:bookmarkEnd w:id="55"/>
    <w:bookmarkEnd w:id="56"/>
    <w:bookmarkStart w:id="57" w:name="discussion"/>
    <w:p>
      <w:pPr>
        <w:pStyle w:val="Heading1"/>
      </w:pPr>
      <w:r>
        <w:t xml:space="preserve">Discussion</w:t>
      </w:r>
    </w:p>
    <w:p>
      <w:pPr>
        <w:pStyle w:val="FirstParagraph"/>
      </w:pPr>
      <w:r>
        <w:t xml:space="preserve">The results from this study indicate that in vivo phycocyanin is better related to extracted phycocyanin when compared to the same measurements for chlorophyll. Similarly, phycocyanin from all instruments was better correlated to cell counts than chlorophyll measurements. Instruments measuring in-vivo phycocyanin were better able to handle the cyanobacteria-dominated phytoplankton communities in these study ponds that cause in-vivo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w:t>
      </w:r>
      <w:r>
        <w:t xml:space="preserve">Hamdhani et al. (2021)</w:t>
      </w:r>
      <w:r>
        <w:t xml:space="preserve">).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compared to extracted concentrations. However, the output from these instruments is not a direct measure of phycocyanin. Instead, these instruments measure the percentage of the chlorophyll that is derived from cyanobacteria, which makes a comparision with other instruments that directly measure phycocyanin difficult.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w:t>
      </w:r>
      <w:r>
        <w:t xml:space="preserve">Thomson-Laing, Puddick, and Wood (2020)</w:t>
      </w:r>
      <w:r>
        <w:t xml:space="preserve">).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cell counts of cyanobacteria were the highest in Mashapaug and it is likely that these high concentrations were underestimating the in vivo concentrations of chlorophyll (</w:t>
      </w:r>
      <w:r>
        <w:t xml:space="preserve">Zamyadi et al. (2012)</w:t>
      </w:r>
      <w:r>
        <w:t xml:space="preserve">).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w:t>
      </w:r>
      <w:r>
        <w:t xml:space="preserve">Silva et al. (2016)</w:t>
      </w:r>
      <w:r>
        <w:t xml:space="preserve">).</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 vivo fluorometry across a spectrum of prices. We hope this study will encourage further research and consideration of using in vivo phycocyanin as alternative to cell counts and in situations were extractive techniques are not able to be used.</w:t>
      </w:r>
    </w:p>
    <w:bookmarkEnd w:id="57"/>
    <w:bookmarkStart w:id="58" w:name="acknowledgements"/>
    <w:p>
      <w:pPr>
        <w:pStyle w:val="Heading1"/>
      </w:pPr>
      <w:r>
        <w:t xml:space="preserve">Acknowledgements</w:t>
      </w:r>
    </w:p>
    <w:p>
      <w:pPr>
        <w:pStyle w:val="FirstParagraph"/>
      </w:pPr>
      <w:r>
        <w:t xml:space="preserve">We are grateful to Hilary Snook, Darryl Keith, Steve Rego,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58"/>
    <w:bookmarkStart w:id="60" w:name="supplement"/>
    <w:p>
      <w:pPr>
        <w:pStyle w:val="Heading1"/>
      </w:pPr>
      <w:r>
        <w:t xml:space="preserve">Supplement</w:t>
      </w:r>
    </w:p>
    <w:bookmarkStart w:id="59" w:name="tbl-supp"/>
    <w:p>
      <w:pPr>
        <w:pStyle w:val="TableCaption"/>
      </w:pPr>
      <w:r>
        <w:t xml:space="preserve">Table 3: Waterbody, Cyano Genus, Relative Biovolume Total Biovolume</w:t>
      </w:r>
    </w:p>
    <w:tbl>
      <w:tblPr>
        <w:tblStyle w:val="Table"/>
        <w:tblW w:type="pct" w:w="5000"/>
        <w:tblLook w:firstRow="1" w:lastRow="0" w:firstColumn="0" w:lastColumn="0" w:noHBand="0" w:noVBand="0" w:val="0020"/>
        <w:tblCaption w:val="Table 3: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59"/>
    <w:bookmarkEnd w:id="60"/>
    <w:bookmarkStart w:id="88" w:name="references"/>
    <w:p>
      <w:pPr>
        <w:pStyle w:val="Heading1"/>
      </w:pPr>
      <w:r>
        <w:t xml:space="preserve">References</w:t>
      </w:r>
    </w:p>
    <w:bookmarkStart w:id="87" w:name="refs"/>
    <w:bookmarkStart w:id="62" w:name="ref-beutler_fluorometric_2002"/>
    <w:p>
      <w:pPr>
        <w:pStyle w:val="Bibliography"/>
      </w:pPr>
      <w:r>
        <w:t xml:space="preserve">Beutler, M., K. H. Wiltshire, B. Meyer, C. Moldaenke, C. Lüring, M. Meyerhöfer, U.-P. Hansen, and H. Dau. 2002.</w:t>
      </w:r>
      <w:r>
        <w:t xml:space="preserve"> </w:t>
      </w:r>
      <w:r>
        <w:t xml:space="preserve">“A Fluorometric Method for the Differentiation of Algal Populations in Vivo and in Situ.”</w:t>
      </w:r>
      <w:r>
        <w:t xml:space="preserve"> </w:t>
      </w:r>
      <w:r>
        <w:rPr>
          <w:iCs/>
          <w:i/>
        </w:rPr>
        <w:t xml:space="preserve">Photosynthesis Research</w:t>
      </w:r>
      <w:r>
        <w:t xml:space="preserve"> </w:t>
      </w:r>
      <w:r>
        <w:t xml:space="preserve">72 (1): 39–53.</w:t>
      </w:r>
      <w:r>
        <w:t xml:space="preserve"> </w:t>
      </w:r>
      <w:hyperlink r:id="rId61">
        <w:r>
          <w:rPr>
            <w:rStyle w:val="Hyperlink"/>
          </w:rPr>
          <w:t xml:space="preserve">https://doi.org/10.1023/A:1016026607048</w:t>
        </w:r>
      </w:hyperlink>
      <w:r>
        <w:t xml:space="preserve">.</w:t>
      </w:r>
    </w:p>
    <w:bookmarkEnd w:id="62"/>
    <w:bookmarkStart w:id="64"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3">
        <w:r>
          <w:rPr>
            <w:rStyle w:val="Hyperlink"/>
          </w:rPr>
          <w:t xml:space="preserve">https://doi.org/10.1016/j.hal.2018.02.001</w:t>
        </w:r>
      </w:hyperlink>
      <w:r>
        <w:t xml:space="preserve">.</w:t>
      </w:r>
    </w:p>
    <w:bookmarkEnd w:id="64"/>
    <w:bookmarkStart w:id="66" w:name="ref-cremella_interpretation_2018"/>
    <w:p>
      <w:pPr>
        <w:pStyle w:val="Bibliography"/>
      </w:pPr>
      <w:r>
        <w:t xml:space="preserve">Cremella, Bruno, Yannick Huot, and Sylvia Bonilla. 2018.</w:t>
      </w:r>
      <w:r>
        <w:t xml:space="preserve"> </w:t>
      </w:r>
      <w:r>
        <w:t xml:space="preserve">“Interpretation of Total Phytoplankton and Cyanobacteria Fluorescence from Cross‐calibrated Fluorometers, Including Sensitivity to Turbidity and Colored Dissolved Organic Matter.”</w:t>
      </w:r>
      <w:r>
        <w:t xml:space="preserve"> </w:t>
      </w:r>
      <w:r>
        <w:rPr>
          <w:iCs/>
          <w:i/>
        </w:rPr>
        <w:t xml:space="preserve">Limnology and Oceanography: Methods</w:t>
      </w:r>
      <w:r>
        <w:t xml:space="preserve"> </w:t>
      </w:r>
      <w:r>
        <w:t xml:space="preserve">16 (12): 881–94.</w:t>
      </w:r>
      <w:r>
        <w:t xml:space="preserve"> </w:t>
      </w:r>
      <w:hyperlink r:id="rId65">
        <w:r>
          <w:rPr>
            <w:rStyle w:val="Hyperlink"/>
          </w:rPr>
          <w:t xml:space="preserve">https://doi.org/10.1002/lom3.10290</w:t>
        </w:r>
      </w:hyperlink>
      <w:r>
        <w:t xml:space="preserve">.</w:t>
      </w:r>
    </w:p>
    <w:bookmarkEnd w:id="66"/>
    <w:bookmarkStart w:id="68"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67">
        <w:r>
          <w:rPr>
            <w:rStyle w:val="Hyperlink"/>
          </w:rPr>
          <w:t xml:space="preserve">https://doi.org/10.1016/j.hal.2016.01.010</w:t>
        </w:r>
      </w:hyperlink>
      <w:r>
        <w:t xml:space="preserve">.</w:t>
      </w:r>
    </w:p>
    <w:bookmarkEnd w:id="68"/>
    <w:bookmarkStart w:id="70" w:name="ref-hamdhani_performance_2021"/>
    <w:p>
      <w:pPr>
        <w:pStyle w:val="Bibliography"/>
      </w:pPr>
      <w:r>
        <w:t xml:space="preserve">Hamdhani, Hamdhani, Drew E. Eppehimer, David Walker, and Michael T. Bogan. 2021.</w:t>
      </w:r>
      <w:r>
        <w:t xml:space="preserve"> </w:t>
      </w:r>
      <w:r>
        <w:t xml:space="preserve">“Performance of a</w:t>
      </w:r>
      <w:r>
        <w:t xml:space="preserve"> </w:t>
      </w:r>
      <w:r>
        <w:t xml:space="preserve">Handheld</w:t>
      </w:r>
      <w:r>
        <w:t xml:space="preserve"> </w:t>
      </w:r>
      <w:r>
        <w:t xml:space="preserve">Chlorophyll</w:t>
      </w:r>
      <w:r>
        <w:t xml:space="preserve">-a</w:t>
      </w:r>
      <w:r>
        <w:t xml:space="preserve"> </w:t>
      </w:r>
      <w:r>
        <w:t xml:space="preserve">Fluorometer</w:t>
      </w:r>
      <w:r>
        <w:t xml:space="preserve">:</w:t>
      </w:r>
      <w:r>
        <w:t xml:space="preserve"> </w:t>
      </w:r>
      <w:r>
        <w:t xml:space="preserve">Potential</w:t>
      </w:r>
      <w:r>
        <w:t xml:space="preserve"> </w:t>
      </w:r>
      <w:r>
        <w:t xml:space="preserve">Use</w:t>
      </w:r>
      <w:r>
        <w:t xml:space="preserve"> </w:t>
      </w:r>
      <w:r>
        <w:t xml:space="preserve">for</w:t>
      </w:r>
      <w:r>
        <w:t xml:space="preserve"> </w:t>
      </w:r>
      <w:r>
        <w:t xml:space="preserve">Rapid</w:t>
      </w:r>
      <w:r>
        <w:t xml:space="preserve"> </w:t>
      </w:r>
      <w:r>
        <w:t xml:space="preserve">Algae</w:t>
      </w:r>
      <w:r>
        <w:t xml:space="preserve"> </w:t>
      </w:r>
      <w:r>
        <w:t xml:space="preserve">Monitoring</w:t>
      </w:r>
      <w:r>
        <w:t xml:space="preserve">.”</w:t>
      </w:r>
      <w:r>
        <w:t xml:space="preserve"> </w:t>
      </w:r>
      <w:r>
        <w:rPr>
          <w:iCs/>
          <w:i/>
        </w:rPr>
        <w:t xml:space="preserve">Water</w:t>
      </w:r>
      <w:r>
        <w:t xml:space="preserve"> </w:t>
      </w:r>
      <w:r>
        <w:t xml:space="preserve">13 (10): 1409.</w:t>
      </w:r>
      <w:r>
        <w:t xml:space="preserve"> </w:t>
      </w:r>
      <w:hyperlink r:id="rId69">
        <w:r>
          <w:rPr>
            <w:rStyle w:val="Hyperlink"/>
          </w:rPr>
          <w:t xml:space="preserve">https://doi.org/10.3390/w13101409</w:t>
        </w:r>
      </w:hyperlink>
      <w:r>
        <w:t xml:space="preserve">.</w:t>
      </w:r>
    </w:p>
    <w:bookmarkEnd w:id="70"/>
    <w:bookmarkStart w:id="72" w:name="ref-liu_chlorophyll_2021"/>
    <w:p>
      <w:pPr>
        <w:pStyle w:val="Bibliography"/>
      </w:pPr>
      <w:r>
        <w:t xml:space="preserve">Liu, Xiaofeng, and Aris P. Georgakakos. 2021.</w:t>
      </w:r>
      <w:r>
        <w:t xml:space="preserve"> </w:t>
      </w:r>
      <w:r>
        <w:t xml:space="preserve">“Chlorophyll a Estimation in Lakes Using Multi-Parameter Sonde Data.”</w:t>
      </w:r>
      <w:r>
        <w:t xml:space="preserve"> </w:t>
      </w:r>
      <w:r>
        <w:rPr>
          <w:iCs/>
          <w:i/>
        </w:rPr>
        <w:t xml:space="preserve">Water Research</w:t>
      </w:r>
      <w:r>
        <w:t xml:space="preserve"> </w:t>
      </w:r>
      <w:r>
        <w:t xml:space="preserve">205 (October): 117661.</w:t>
      </w:r>
      <w:r>
        <w:t xml:space="preserve"> </w:t>
      </w:r>
      <w:hyperlink r:id="rId71">
        <w:r>
          <w:rPr>
            <w:rStyle w:val="Hyperlink"/>
          </w:rPr>
          <w:t xml:space="preserve">https://doi.org/10.1016/j.watres.2021.117661</w:t>
        </w:r>
      </w:hyperlink>
      <w:r>
        <w:t xml:space="preserve">.</w:t>
      </w:r>
    </w:p>
    <w:bookmarkEnd w:id="72"/>
    <w:bookmarkStart w:id="74" w:name="ref-paerl_it_2016"/>
    <w:p>
      <w:pPr>
        <w:pStyle w:val="Bibliography"/>
      </w:pPr>
      <w:r>
        <w:t xml:space="preserve">Paerl, Hans W., J. Thad Scott, Mark J. McCarthy, Silvia E. Newell, Wayne S. Gardner, Karl E. Havens, Daniel K. Hoffman, Steven W. Wilhelm, and Wayne A. Wurtsbaugh. 2016.</w:t>
      </w:r>
      <w:r>
        <w:t xml:space="preserve"> </w:t>
      </w:r>
      <w:r>
        <w:t xml:space="preserve">“It</w:t>
      </w:r>
      <w:r>
        <w:t xml:space="preserve"> </w:t>
      </w:r>
      <w:r>
        <w:t xml:space="preserve">Takes</w:t>
      </w:r>
      <w:r>
        <w:t xml:space="preserve"> </w:t>
      </w:r>
      <w:r>
        <w:t xml:space="preserve">Two</w:t>
      </w:r>
      <w:r>
        <w:t xml:space="preserve"> </w:t>
      </w:r>
      <w:r>
        <w:t xml:space="preserve">to</w:t>
      </w:r>
      <w:r>
        <w:t xml:space="preserve"> </w:t>
      </w:r>
      <w:r>
        <w:t xml:space="preserve">Tango</w:t>
      </w:r>
      <w:r>
        <w:t xml:space="preserve">:</w:t>
      </w:r>
      <w:r>
        <w:t xml:space="preserve"> </w:t>
      </w:r>
      <w:r>
        <w:t xml:space="preserve">When</w:t>
      </w:r>
      <w:r>
        <w:t xml:space="preserve"> </w:t>
      </w:r>
      <w:r>
        <w:t xml:space="preserve">and</w:t>
      </w:r>
      <w:r>
        <w:t xml:space="preserve"> </w:t>
      </w:r>
      <w:r>
        <w:t xml:space="preserve">Where</w:t>
      </w:r>
      <w:r>
        <w:t xml:space="preserve"> </w:t>
      </w:r>
      <w:r>
        <w:t xml:space="preserve">Dual</w:t>
      </w:r>
      <w:r>
        <w:t xml:space="preserve"> </w:t>
      </w:r>
      <w:r>
        <w:t xml:space="preserve">Nutrient</w:t>
      </w:r>
      <w:r>
        <w:t xml:space="preserve"> </w:t>
      </w:r>
      <w:r>
        <w:t xml:space="preserve">(</w:t>
      </w:r>
      <w:r>
        <w:t xml:space="preserve">N</w:t>
      </w:r>
      <w:r>
        <w:t xml:space="preserve"> </w:t>
      </w:r>
      <w:r>
        <w:t xml:space="preserve">&amp;</w:t>
      </w:r>
      <w:r>
        <w:t xml:space="preserve"> </w:t>
      </w:r>
      <w:r>
        <w:t xml:space="preserve">P</w:t>
      </w:r>
      <w:r>
        <w:t xml:space="preserve">)</w:t>
      </w:r>
      <w:r>
        <w:t xml:space="preserve"> </w:t>
      </w:r>
      <w:r>
        <w:t xml:space="preserve">Reductions</w:t>
      </w:r>
      <w:r>
        <w:t xml:space="preserve"> </w:t>
      </w:r>
      <w:r>
        <w:t xml:space="preserve">Are</w:t>
      </w:r>
      <w:r>
        <w:t xml:space="preserve"> </w:t>
      </w:r>
      <w:r>
        <w:t xml:space="preserve">Needed</w:t>
      </w:r>
      <w:r>
        <w:t xml:space="preserve"> </w:t>
      </w:r>
      <w:r>
        <w:t xml:space="preserve">to</w:t>
      </w:r>
      <w:r>
        <w:t xml:space="preserve"> </w:t>
      </w:r>
      <w:r>
        <w:t xml:space="preserve">Protect</w:t>
      </w:r>
      <w:r>
        <w:t xml:space="preserve"> </w:t>
      </w:r>
      <w:r>
        <w:t xml:space="preserve">Lakes</w:t>
      </w:r>
      <w:r>
        <w:t xml:space="preserve"> </w:t>
      </w:r>
      <w:r>
        <w:t xml:space="preserve">and</w:t>
      </w:r>
      <w:r>
        <w:t xml:space="preserve"> </w:t>
      </w:r>
      <w:r>
        <w:t xml:space="preserve">Downstream</w:t>
      </w:r>
      <w:r>
        <w:t xml:space="preserve"> </w:t>
      </w:r>
      <w:r>
        <w:t xml:space="preserve">Ecosystems</w:t>
      </w:r>
      <w:r>
        <w:t xml:space="preserve">.”</w:t>
      </w:r>
      <w:r>
        <w:t xml:space="preserve"> </w:t>
      </w:r>
      <w:r>
        <w:rPr>
          <w:iCs/>
          <w:i/>
        </w:rPr>
        <w:t xml:space="preserve">Environmental Science &amp; Technology</w:t>
      </w:r>
      <w:r>
        <w:t xml:space="preserve"> </w:t>
      </w:r>
      <w:r>
        <w:t xml:space="preserve">50 (20): 10805–13.</w:t>
      </w:r>
      <w:r>
        <w:t xml:space="preserve"> </w:t>
      </w:r>
      <w:hyperlink r:id="rId73">
        <w:r>
          <w:rPr>
            <w:rStyle w:val="Hyperlink"/>
          </w:rPr>
          <w:t xml:space="preserve">https://doi.org/10.1021/acs.est.6b02575</w:t>
        </w:r>
      </w:hyperlink>
      <w:r>
        <w:t xml:space="preserve">.</w:t>
      </w:r>
    </w:p>
    <w:bookmarkEnd w:id="74"/>
    <w:bookmarkStart w:id="76" w:name="ref-rousso_chlorophyll_2022"/>
    <w:p>
      <w:pPr>
        <w:pStyle w:val="Bibliography"/>
      </w:pPr>
      <w:r>
        <w:t xml:space="preserve">Rousso, Benny Zuse, Edoardo Bertone, Rodney Stewart, Arthur Aguiar, Ann Chuang, David P. Hamilton, and Michele A. Burford. 2022.</w:t>
      </w:r>
      <w:r>
        <w:t xml:space="preserve"> </w:t>
      </w:r>
      <w:r>
        <w:t xml:space="preserve">“Chlorophyll and Phycocyanin in-Situ Fluorescence in Mixed Cyanobacterial Species Assemblages:</w:t>
      </w:r>
      <w:r>
        <w:t xml:space="preserve"> </w:t>
      </w:r>
      <w:r>
        <w:t xml:space="preserve">Effects</w:t>
      </w:r>
      <w:r>
        <w:t xml:space="preserve"> </w:t>
      </w:r>
      <w:r>
        <w:t xml:space="preserve">of Morphology, Cell Size and Growth Phase.”</w:t>
      </w:r>
      <w:r>
        <w:t xml:space="preserve"> </w:t>
      </w:r>
      <w:r>
        <w:rPr>
          <w:iCs/>
          <w:i/>
        </w:rPr>
        <w:t xml:space="preserve">Water Research</w:t>
      </w:r>
      <w:r>
        <w:t xml:space="preserve"> </w:t>
      </w:r>
      <w:r>
        <w:t xml:space="preserve">212 (April): 118127.</w:t>
      </w:r>
      <w:r>
        <w:t xml:space="preserve"> </w:t>
      </w:r>
      <w:hyperlink r:id="rId75">
        <w:r>
          <w:rPr>
            <w:rStyle w:val="Hyperlink"/>
          </w:rPr>
          <w:t xml:space="preserve">https://doi.org/10.1016/j.watres.2022.118127</w:t>
        </w:r>
      </w:hyperlink>
      <w:r>
        <w:t xml:space="preserve">.</w:t>
      </w:r>
    </w:p>
    <w:bookmarkEnd w:id="76"/>
    <w:bookmarkStart w:id="78" w:name="ref-schindler_eutrophication_2008"/>
    <w:p>
      <w:pPr>
        <w:pStyle w:val="Bibliography"/>
      </w:pPr>
      <w:r>
        <w:t xml:space="preserve">Schindler, David W., R. E. Hecky, D. L. Findlay, M. P. Stainton, B. R. Parker, M. J. Paterson, K. G. Beaty, M. Lyng, and S. E. M. Kasian. 2008.</w:t>
      </w:r>
      <w:r>
        <w:t xml:space="preserve"> </w:t>
      </w:r>
      <w:r>
        <w:t xml:space="preserve">“Eutrophication of Lakes Cannot Be Controlled by Reducing Nitrogen Input:</w:t>
      </w:r>
      <w:r>
        <w:t xml:space="preserve"> </w:t>
      </w:r>
      <w:r>
        <w:t xml:space="preserve">Results</w:t>
      </w:r>
      <w:r>
        <w:t xml:space="preserve"> </w:t>
      </w:r>
      <w:r>
        <w:t xml:space="preserve">of a 37-Year Whole-Ecosystem Experiment.”</w:t>
      </w:r>
      <w:r>
        <w:t xml:space="preserve"> </w:t>
      </w:r>
      <w:r>
        <w:rPr>
          <w:iCs/>
          <w:i/>
        </w:rPr>
        <w:t xml:space="preserve">Proceedings of the National Academy of Sciences</w:t>
      </w:r>
      <w:r>
        <w:t xml:space="preserve"> </w:t>
      </w:r>
      <w:r>
        <w:t xml:space="preserve">105 (32): 11254–58.</w:t>
      </w:r>
      <w:r>
        <w:t xml:space="preserve"> </w:t>
      </w:r>
      <w:hyperlink r:id="rId77">
        <w:r>
          <w:rPr>
            <w:rStyle w:val="Hyperlink"/>
          </w:rPr>
          <w:t xml:space="preserve">https://doi.org/10.1073/pnas.0805108105</w:t>
        </w:r>
      </w:hyperlink>
      <w:r>
        <w:t xml:space="preserve">.</w:t>
      </w:r>
    </w:p>
    <w:bookmarkEnd w:id="78"/>
    <w:bookmarkStart w:id="80" w:name="ref-silva_comparison_2016"/>
    <w:p>
      <w:pPr>
        <w:pStyle w:val="Bibliography"/>
      </w:pPr>
      <w:r>
        <w:t xml:space="preserve">Silva, Talita, Alessandra Giani, Cleber Figueredo, Priscila Viana, Viet Tran Khac, Bruno J. Lemaire, Bruno Tassin, Nilo Nascimento, and Brigitte Vinçon-Leite. 2016.</w:t>
      </w:r>
      <w:r>
        <w:t xml:space="preserve"> </w:t>
      </w:r>
      <w:r>
        <w:t xml:space="preserve">“Comparison of Cyanobacteria Monitoring Methods in a Tropical Reservoir by in Vivo and in Situ Spectrofluorometry.”</w:t>
      </w:r>
      <w:r>
        <w:t xml:space="preserve"> </w:t>
      </w:r>
      <w:r>
        <w:rPr>
          <w:iCs/>
          <w:i/>
        </w:rPr>
        <w:t xml:space="preserve">Ecological Engineering</w:t>
      </w:r>
      <w:r>
        <w:t xml:space="preserve"> </w:t>
      </w:r>
      <w:r>
        <w:t xml:space="preserve">97 (December): 79–87.</w:t>
      </w:r>
      <w:r>
        <w:t xml:space="preserve"> </w:t>
      </w:r>
      <w:hyperlink r:id="rId79">
        <w:r>
          <w:rPr>
            <w:rStyle w:val="Hyperlink"/>
          </w:rPr>
          <w:t xml:space="preserve">https://doi.org/10.1016/j.ecoleng.2016.06.037</w:t>
        </w:r>
      </w:hyperlink>
      <w:r>
        <w:t xml:space="preserve">.</w:t>
      </w:r>
    </w:p>
    <w:bookmarkEnd w:id="80"/>
    <w:bookmarkStart w:id="82" w:name="ref-thomson-laing_predicting_2020"/>
    <w:p>
      <w:pPr>
        <w:pStyle w:val="Bibliography"/>
      </w:pPr>
      <w:r>
        <w:t xml:space="preserve">Thomson-Laing, Georgia, Jonathan Puddick, and Susanna A Wood. 2020.</w:t>
      </w:r>
      <w:r>
        <w:t xml:space="preserve"> </w:t>
      </w:r>
      <w:r>
        <w:t xml:space="preserve">“Predicting Cyanobacterial Biovolumes from Phycocyanin Fluorescence Using a Handheld Fluorometer in the Field.”</w:t>
      </w:r>
      <w:r>
        <w:t xml:space="preserve"> </w:t>
      </w:r>
      <w:r>
        <w:rPr>
          <w:iCs/>
          <w:i/>
        </w:rPr>
        <w:t xml:space="preserve">Harmful Algae</w:t>
      </w:r>
      <w:r>
        <w:t xml:space="preserve"> </w:t>
      </w:r>
      <w:r>
        <w:t xml:space="preserve">97 (July): 101869.</w:t>
      </w:r>
      <w:r>
        <w:t xml:space="preserve"> </w:t>
      </w:r>
      <w:hyperlink r:id="rId81">
        <w:r>
          <w:rPr>
            <w:rStyle w:val="Hyperlink"/>
          </w:rPr>
          <w:t xml:space="preserve">https://doi.org/10.1016/j.hal.2020.101869</w:t>
        </w:r>
      </w:hyperlink>
      <w:r>
        <w:t xml:space="preserve">.</w:t>
      </w:r>
    </w:p>
    <w:bookmarkEnd w:id="82"/>
    <w:bookmarkStart w:id="84" w:name="ref-wynne_characterizing_2010"/>
    <w:p>
      <w:pPr>
        <w:pStyle w:val="Bibliography"/>
      </w:pPr>
      <w:r>
        <w:t xml:space="preserve">Wynne, Timothy T., Richard P. Stumpf, Michelle C. Tomlinson, and Julianne Dyble. 2010.</w:t>
      </w:r>
      <w:r>
        <w:t xml:space="preserve"> </w:t>
      </w:r>
      <w:r>
        <w:t xml:space="preserve">“Characterizing a Cyanobacterial Bloom in</w:t>
      </w:r>
      <w:r>
        <w:t xml:space="preserve"> </w:t>
      </w:r>
      <w:r>
        <w:t xml:space="preserve">Western</w:t>
      </w:r>
      <w:r>
        <w:t xml:space="preserve"> </w:t>
      </w:r>
      <w:r>
        <w:t xml:space="preserve">Lake</w:t>
      </w:r>
      <w:r>
        <w:t xml:space="preserve"> </w:t>
      </w:r>
      <w:r>
        <w:t xml:space="preserve">Erie</w:t>
      </w:r>
      <w:r>
        <w:t xml:space="preserve"> </w:t>
      </w:r>
      <w:r>
        <w:t xml:space="preserve">Using Satellite Imagery and Meteorological Data.”</w:t>
      </w:r>
      <w:r>
        <w:t xml:space="preserve"> </w:t>
      </w:r>
      <w:r>
        <w:rPr>
          <w:iCs/>
          <w:i/>
        </w:rPr>
        <w:t xml:space="preserve">Limnology and Oceanography</w:t>
      </w:r>
      <w:r>
        <w:t xml:space="preserve"> </w:t>
      </w:r>
      <w:r>
        <w:t xml:space="preserve">55 (5): 2025–36.</w:t>
      </w:r>
      <w:r>
        <w:t xml:space="preserve"> </w:t>
      </w:r>
      <w:hyperlink r:id="rId83">
        <w:r>
          <w:rPr>
            <w:rStyle w:val="Hyperlink"/>
          </w:rPr>
          <w:t xml:space="preserve">https://doi.org/10.4319/lo.2010.55.5.2025</w:t>
        </w:r>
      </w:hyperlink>
      <w:r>
        <w:t xml:space="preserve">.</w:t>
      </w:r>
    </w:p>
    <w:bookmarkEnd w:id="84"/>
    <w:bookmarkStart w:id="86" w:name="ref-zamyadi_monitoring_2012"/>
    <w:p>
      <w:pPr>
        <w:pStyle w:val="Bibliography"/>
      </w:pPr>
      <w:r>
        <w:t xml:space="preserve">Zamyadi, A., N. McQuaid, M. Prévost, and S. Dorner. 2012.</w:t>
      </w:r>
      <w:r>
        <w:t xml:space="preserve"> </w:t>
      </w:r>
      <w:r>
        <w:t xml:space="preserve">“Monitoring of Potentially Toxic Cyanobacteria Using an Online Multi-Probe in Drinking Water Sources.”</w:t>
      </w:r>
      <w:r>
        <w:t xml:space="preserve"> </w:t>
      </w:r>
      <w:r>
        <w:rPr>
          <w:iCs/>
          <w:i/>
        </w:rPr>
        <w:t xml:space="preserve">J. Environ. Monit.</w:t>
      </w:r>
      <w:r>
        <w:t xml:space="preserve"> </w:t>
      </w:r>
      <w:r>
        <w:t xml:space="preserve">14 (2): 579–88.</w:t>
      </w:r>
      <w:r>
        <w:t xml:space="preserve"> </w:t>
      </w:r>
      <w:hyperlink r:id="rId85">
        <w:r>
          <w:rPr>
            <w:rStyle w:val="Hyperlink"/>
          </w:rPr>
          <w:t xml:space="preserve">https://doi.org/10.1039/C1EM10819K</w:t>
        </w:r>
      </w:hyperlink>
      <w:r>
        <w:t xml:space="preserve">.</w:t>
      </w:r>
    </w:p>
    <w:bookmarkEnd w:id="86"/>
    <w:bookmarkEnd w:id="87"/>
    <w:bookmarkEnd w:id="88"/>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 in vivo vs extracted) for cyanoHAB monitoring in six Rhode Island ponds</dc:title>
  <dc:creator>Stephen D. Shivers; Jeffrey W. Hollister; Sophie Fournier; Jakob Stankoski; Betty J. Kreakie</dc:creator>
  <cp:keywords/>
  <dcterms:created xsi:type="dcterms:W3CDTF">2024-04-18T15:31:03Z</dcterms:created>
  <dcterms:modified xsi:type="dcterms:W3CDTF">2024-04-18T15:31:03Z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advanced laboratory processes (e.g. pigment extraction). We compared measurements from five in 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 vivo fluorometers (R2 ranging from 0.78-0.96). We found less consistency between in vivo measurements of chlorophyll a and the extracted results (R2 between 0.34 and 0.82). Some variability in the chlorophyll a results can be explained by differences in the phytoplankton community at the different sampling locations. Phycocyanin results from in 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 vivo fluorometry and phycocyanin for cyanoHAB monitoring efforts and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