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7.jpg" ContentType="image/jpeg"/>
  <Override PartName="/word/media/rId43.jpg" ContentType="image/jpeg"/>
  <Override PartName="/word/media/rId47.jpg" ContentType="image/jpeg"/>
  <Override PartName="/word/media/rId51.jpg" ContentType="image/jpeg"/>
  <Override PartName="/word/media/rId5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(in-vivo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an</w:t>
      </w:r>
      <w:r>
        <w:t xml:space="preserve"> </w:t>
      </w:r>
      <w:r>
        <w:t xml:space="preserve">extraction</w:t>
      </w:r>
      <w:r>
        <w:t xml:space="preserve"> </w:t>
      </w:r>
      <w:r>
        <w:t xml:space="preserve">process.</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in-vivo</w:t>
      </w:r>
      <w:r>
        <w:t xml:space="preserve"> </w:t>
      </w:r>
      <w:r>
        <w:t xml:space="preserve">fluorometry</w:t>
      </w:r>
      <w:r>
        <w:t xml:space="preserve"> </w:t>
      </w:r>
      <w:r>
        <w:t xml:space="preserve">and</w:t>
      </w:r>
      <w:r>
        <w:t xml:space="preserve"> </w:t>
      </w:r>
      <w:r>
        <w:t xml:space="preserve">discussion</w:t>
      </w:r>
      <w:r>
        <w:t xml:space="preserve"> </w:t>
      </w:r>
      <w:r>
        <w:t xml:space="preserve">to</w:t>
      </w:r>
      <w:r>
        <w:t xml:space="preserve"> </w:t>
      </w:r>
      <w:r>
        <w:t xml:space="preserve">move</w:t>
      </w:r>
      <w:r>
        <w:t xml:space="preserve"> </w:t>
      </w:r>
      <w:r>
        <w:t xml:space="preserve">away</w:t>
      </w:r>
      <w:r>
        <w:t xml:space="preserve"> </w:t>
      </w:r>
      <w:r>
        <w:t xml:space="preserve">from</w:t>
      </w:r>
      <w:r>
        <w:t xml:space="preserve"> </w:t>
      </w:r>
      <w:r>
        <w:t xml:space="preserve">cell</w:t>
      </w:r>
      <w:r>
        <w:t xml:space="preserve"> </w:t>
      </w:r>
      <w:r>
        <w:t xml:space="preserve">counts</w:t>
      </w:r>
      <w:r>
        <w:t xml:space="preserve"> </w:t>
      </w:r>
      <w:r>
        <w:t xml:space="preserve">and</w:t>
      </w:r>
      <w:r>
        <w:t xml:space="preserve"> </w:t>
      </w:r>
      <w:r>
        <w:t xml:space="preserve">towards</w:t>
      </w:r>
      <w:r>
        <w:t xml:space="preserve"> </w:t>
      </w:r>
      <w:r>
        <w:t xml:space="preserve">fluorometric</w:t>
      </w:r>
      <w:r>
        <w:t xml:space="preserve"> </w:t>
      </w:r>
      <w:r>
        <w:t xml:space="preserve">based</w:t>
      </w:r>
      <w:r>
        <w:t xml:space="preserve"> </w:t>
      </w:r>
      <w:r>
        <w:t xml:space="preserve">measurements</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These blooms may impact both human and environmental health, particularly if toxins are being produced. CyanoHAB blooms are often transient in nature, can be difficult to accurately quantify, and occur in diverse waterbodies across large spatial scales. Despite occuring on large scales, effects of blooms have primarily local impacts and can differ in species composition and toxicity based on local conditions. As large, centrally managed monitoring efforts are expensive and time consuming to operate, a substantial portion of cyanoHAB monitoring occurs at the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developed to measure chlorophyll</w:t>
      </w:r>
      <w:r>
        <w:t xml:space="preserve"> </w:t>
      </w:r>
      <w:r>
        <w:rPr>
          <w:iCs/>
          <w:i/>
        </w:rPr>
        <w:t xml:space="preserve">a</w:t>
      </w:r>
      <w:r>
        <w:t xml:space="preserve"> </w:t>
      </w:r>
      <w:r>
        <w:t xml:space="preserve">and/or phycocyanin using in vivo fluorescence without an extraction step and have a wide range in cost. These instruments distinguish between the pigments based on their differing emission spectra. Some instruments (i.e. PhycoProbe) use multiple leds at varying wavelengths to cause fluorescence of different algal types, thus creating a finer scale breakdown of community composition. These instruments can be used in the field, the lab, or a combination of both.</w:t>
      </w:r>
    </w:p>
    <w:p>
      <w:pPr>
        <w:pStyle w:val="BodyText"/>
      </w:pPr>
      <w:r>
        <w:t xml:space="preserve">Field instruments may be placed directly in a waterbody or require water to be poured into a cuvette and then placed into a handheld fluorometer. Differences in measurement methods represent a potential source of error when comparing instruments. Additionally, instruments may report valued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Estimation problems can also result from differing community composition, particularly if colonial cyanobacteria are present as the interior of large colonies will not fluoresce as readily as the exterior. Finally, the physical properties of the sample water can greatly affect fluorescence readings based on turbidity levels and the presence of CDOM. Some instruments offer a yellow substance correction to help account for CDOM while others do not. How the different instruments handle these various potential problems can affect their accuracy and precision, and the ability to compare across different instrument types. The goal of this paper is to compare different handhelds or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were used during this study: Turner Trilogy (in vivo chlorophyll module), Turner FluoroSense, Turner Cyanofluor, bbe AlgaeTorch, and bbe PhycoProbe.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eight ponds in Rhode Island during October and November 2021 (</w:t>
      </w:r>
      <w:hyperlink w:anchor="fig-map">
        <w:r>
          <w:rPr>
            <w:rStyle w:val="Hyperlink"/>
          </w:rPr>
          <w:t xml:space="preserve">Figure 1</w:t>
        </w:r>
      </w:hyperlink>
      <w:r>
        <w:t xml:space="preserve">). Two liter surface samples were collected in triplicate (six total liters) by wading into each pond to a minimum depth of two feet to avoid collecting near the sediment. If a surface scum was present, the scum was gently brushed aside to avoid being collected in the sample bottles. Samples were collected in acid-washed 1 L amber bottles and placed in a cooler with ice.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field samples will be analyzed in triplicate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in-vivo module. chlorophyll</w:t>
      </w:r>
      <w:r>
        <w:t xml:space="preserve"> </w:t>
      </w:r>
      <w:r>
        <w:rPr>
          <w:iCs/>
          <w:i/>
        </w:rPr>
        <w:t xml:space="preserve">a</w:t>
      </w:r>
      <w:r>
        <w:t xml:space="preserve"> </w:t>
      </w:r>
      <w:r>
        <w:t xml:space="preserve">extraction using 90% acetone followed after a 20 minute period in a sonicating water bath. Phycocyanin extraction followed a 15 minute period in a sonicating water bath and used a 50 mM phosphate buffer.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Water samples for phytoplankton identification and enumeration were decanted from field collected samples into 250 ml amber HDPE bottles and were preserved with 25% glutaraldehyde. Samples were stored at 4°C and shipped the week after collection on ice to Phycotech, Inc.</w:t>
      </w:r>
    </w:p>
    <w:p>
      <w:pPr>
        <w:pStyle w:val="BodyText"/>
      </w:pPr>
      <w:r>
        <w:t xml:space="preserve">All phytoplankton samples were collected on 2021-10-06. Samples from Barber, Indian and Yawgoo were collected on 2021-10-06 and samples from Curran, Mashapaug, and Warwick were collected on 2021-10-22; fluoromery was performed with 24 hours of sample collection.</w:t>
      </w:r>
    </w:p>
    <w:bookmarkEnd w:id="28"/>
    <w:bookmarkStart w:id="29" w:name="data-analysis"/>
    <w:p>
      <w:pPr>
        <w:pStyle w:val="Heading2"/>
      </w:pPr>
      <w:r>
        <w:t xml:space="preserve">Data Analysis</w:t>
      </w:r>
    </w:p>
    <w:p>
      <w:pPr>
        <w:pStyle w:val="FirstParagraph"/>
      </w:pPr>
      <w:r>
        <w:t xml:space="preserve">To compare extracted concentrations and cell counts/biovolume to the various instruments we used simple linear regression and scatterplots. We derived the coefficient of determination from the regressions as a measure of fit and also qualitatively compare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60" w:name="results"/>
    <w:p>
      <w:pPr>
        <w:pStyle w:val="Heading1"/>
      </w:pPr>
      <w:r>
        <w:t xml:space="preserve">Results</w:t>
      </w:r>
    </w:p>
    <w:bookmarkStart w:id="36" w:name="chlorophyll"/>
    <w:p>
      <w:pPr>
        <w:pStyle w:val="Heading2"/>
      </w:pPr>
      <w:r>
        <w:t xml:space="preserve">Chlorophyll</w:t>
      </w:r>
    </w:p>
    <w:p>
      <w:pPr>
        <w:pStyle w:val="FirstParagraph"/>
      </w:pPr>
      <w:r>
        <w:t xml:space="preserve">Extracted chlorophyll measurements ranged from 3.2 ug/L at Indian Lake to 81.3 ug/L in Mashapaug Pond (</w:t>
      </w:r>
      <w:hyperlink w:anchor="tbl-chlsummary">
        <w:r>
          <w:rPr>
            <w:rStyle w:val="Hyperlink"/>
          </w:rPr>
          <w:t xml:space="preserve">Table 1</w:t>
        </w:r>
      </w:hyperlink>
      <w:r>
        <w:t xml:space="preserve">).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jc w:val="start"/>
      </w:tblPr>
      <w:tblGrid>
        <w:gridCol w:w="7920"/>
      </w:tblGrid>
      <w:tr>
        <w:tc>
          <w:tcPr/>
          <w:bookmarkStart w:id="34" w:name="fig-chlascatter"/>
          <w:p>
            <w:pPr>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4"/>
        </w:tc>
      </w:tr>
    </w:tbl>
    <w:p>
      <w:pPr>
        <w:pStyle w:val="BodyText"/>
      </w:pPr>
      <w:r>
        <w:t xml:space="preserve"> </w:t>
      </w:r>
    </w:p>
    <w:bookmarkStart w:id="35" w:name="tbl-chlsummary"/>
    <w:p>
      <w:pPr>
        <w:pStyle w:val="TableCaption"/>
      </w:pPr>
      <w:r>
        <w:t xml:space="preserve">Table 1: Chlorophyll summary data by waterbody and instrument.</w:t>
      </w:r>
    </w:p>
    <w:tbl>
      <w:tblPr>
        <w:tblStyle w:val="Table"/>
        <w:tblW w:type="auto" w:w="0"/>
        <w:tblLook w:firstRow="1" w:lastRow="0" w:firstColumn="0" w:lastColumn="0" w:noHBand="0" w:noVBand="0" w:val="0020"/>
        <w:jc w:val="start"/>
        <w:tblCaption w:val="Table 1: Chlorophyll summary data by waterbody and instrument."/>
      </w:tblPr>
      <w:tblGrid>
        <w:gridCol w:w="1320"/>
        <w:gridCol w:w="1320"/>
        <w:gridCol w:w="1320"/>
        <w:gridCol w:w="1320"/>
        <w:gridCol w:w="1320"/>
        <w:gridCol w:w="1320"/>
      </w:tblGrid>
      <w:tr>
        <w:trPr>
          <w:tblHeader w:val="true"/>
        </w:trPr>
        <w:tc>
          <w:tcPr/>
          <w:p>
            <w:pPr>
              <w:pStyle w:val="Compact"/>
              <w:jc w:val="left"/>
            </w:pPr>
            <w:r>
              <w:t xml:space="preserve">waterbody</w:t>
            </w:r>
          </w:p>
        </w:tc>
        <w:tc>
          <w:tcPr/>
          <w:p>
            <w:pPr>
              <w:pStyle w:val="Compact"/>
              <w:jc w:val="left"/>
            </w:pPr>
            <w:r>
              <w:t xml:space="preserve">instrument</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barber</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7.766667</w:t>
            </w:r>
          </w:p>
        </w:tc>
        <w:tc>
          <w:tcPr/>
          <w:p>
            <w:pPr>
              <w:pStyle w:val="Compact"/>
              <w:jc w:val="right"/>
            </w:pPr>
            <w:r>
              <w:t xml:space="preserve">0.5507571</w:t>
            </w:r>
          </w:p>
        </w:tc>
      </w:tr>
      <w:tr>
        <w:tc>
          <w:tcPr/>
          <w:p>
            <w:pPr>
              <w:pStyle w:val="Compact"/>
              <w:jc w:val="left"/>
            </w:pPr>
            <w:r>
              <w:t xml:space="preserve">barber</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715.767667</w:t>
            </w:r>
          </w:p>
        </w:tc>
        <w:tc>
          <w:tcPr/>
          <w:p>
            <w:pPr>
              <w:pStyle w:val="Compact"/>
              <w:jc w:val="right"/>
            </w:pPr>
            <w:r>
              <w:t xml:space="preserve">65.4339790</w:t>
            </w:r>
          </w:p>
        </w:tc>
      </w:tr>
      <w:tr>
        <w:tc>
          <w:tcPr/>
          <w:p>
            <w:pPr>
              <w:pStyle w:val="Compact"/>
              <w:jc w:val="left"/>
            </w:pPr>
            <w:r>
              <w:t xml:space="preserve">barber</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7.045000</w:t>
            </w:r>
          </w:p>
        </w:tc>
        <w:tc>
          <w:tcPr/>
          <w:p>
            <w:pPr>
              <w:pStyle w:val="Compact"/>
              <w:jc w:val="right"/>
            </w:pPr>
            <w:r>
              <w:t xml:space="preserve">0.0775822</w:t>
            </w:r>
          </w:p>
        </w:tc>
      </w:tr>
      <w:tr>
        <w:tc>
          <w:tcPr/>
          <w:p>
            <w:pPr>
              <w:pStyle w:val="Compact"/>
              <w:jc w:val="left"/>
            </w:pPr>
            <w:r>
              <w:t xml:space="preserve">barber</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4.468667</w:t>
            </w:r>
          </w:p>
        </w:tc>
        <w:tc>
          <w:tcPr/>
          <w:p>
            <w:pPr>
              <w:pStyle w:val="Compact"/>
              <w:jc w:val="right"/>
            </w:pPr>
            <w:r>
              <w:t xml:space="preserve">0.2012991</w:t>
            </w:r>
          </w:p>
        </w:tc>
      </w:tr>
      <w:tr>
        <w:tc>
          <w:tcPr/>
          <w:p>
            <w:pPr>
              <w:pStyle w:val="Compact"/>
              <w:jc w:val="left"/>
            </w:pPr>
            <w:r>
              <w:t xml:space="preserve">barber</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444.144333</w:t>
            </w:r>
          </w:p>
        </w:tc>
        <w:tc>
          <w:tcPr/>
          <w:p>
            <w:pPr>
              <w:pStyle w:val="Compact"/>
              <w:jc w:val="right"/>
            </w:pPr>
            <w:r>
              <w:t xml:space="preserve">43.1596181</w:t>
            </w:r>
          </w:p>
        </w:tc>
      </w:tr>
      <w:tr>
        <w:tc>
          <w:tcPr/>
          <w:p>
            <w:pPr>
              <w:pStyle w:val="Compact"/>
              <w:jc w:val="left"/>
            </w:pPr>
            <w:r>
              <w:t xml:space="preserve">curran</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14.166667</w:t>
            </w:r>
          </w:p>
        </w:tc>
        <w:tc>
          <w:tcPr/>
          <w:p>
            <w:pPr>
              <w:pStyle w:val="Compact"/>
              <w:jc w:val="right"/>
            </w:pPr>
            <w:r>
              <w:t xml:space="preserve">3.0664855</w:t>
            </w:r>
          </w:p>
        </w:tc>
      </w:tr>
      <w:tr>
        <w:tc>
          <w:tcPr/>
          <w:p>
            <w:pPr>
              <w:pStyle w:val="Compact"/>
              <w:jc w:val="left"/>
            </w:pPr>
            <w:r>
              <w:t xml:space="preserve">curran</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3538.666667</w:t>
            </w:r>
          </w:p>
        </w:tc>
        <w:tc>
          <w:tcPr/>
          <w:p>
            <w:pPr>
              <w:pStyle w:val="Compact"/>
              <w:jc w:val="right"/>
            </w:pPr>
            <w:r>
              <w:t xml:space="preserve">282.5552237</w:t>
            </w:r>
          </w:p>
        </w:tc>
      </w:tr>
      <w:tr>
        <w:tc>
          <w:tcPr/>
          <w:p>
            <w:pPr>
              <w:pStyle w:val="Compact"/>
              <w:jc w:val="left"/>
            </w:pPr>
            <w:r>
              <w:t xml:space="preserve">curran</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27.421333</w:t>
            </w:r>
          </w:p>
        </w:tc>
        <w:tc>
          <w:tcPr/>
          <w:p>
            <w:pPr>
              <w:pStyle w:val="Compact"/>
              <w:jc w:val="right"/>
            </w:pPr>
            <w:r>
              <w:t xml:space="preserve">1.5633638</w:t>
            </w:r>
          </w:p>
        </w:tc>
      </w:tr>
      <w:tr>
        <w:tc>
          <w:tcPr/>
          <w:p>
            <w:pPr>
              <w:pStyle w:val="Compact"/>
              <w:jc w:val="left"/>
            </w:pPr>
            <w:r>
              <w:t xml:space="preserve">curran</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19.583000</w:t>
            </w:r>
          </w:p>
        </w:tc>
        <w:tc>
          <w:tcPr/>
          <w:p>
            <w:pPr>
              <w:pStyle w:val="Compact"/>
              <w:jc w:val="right"/>
            </w:pPr>
            <w:r>
              <w:t xml:space="preserve">0.2290502</w:t>
            </w:r>
          </w:p>
        </w:tc>
      </w:tr>
      <w:tr>
        <w:tc>
          <w:tcPr/>
          <w:p>
            <w:pPr>
              <w:pStyle w:val="Compact"/>
              <w:jc w:val="left"/>
            </w:pPr>
            <w:r>
              <w:t xml:space="preserve">curran</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2213.419000</w:t>
            </w:r>
          </w:p>
        </w:tc>
        <w:tc>
          <w:tcPr/>
          <w:p>
            <w:pPr>
              <w:pStyle w:val="Compact"/>
              <w:jc w:val="right"/>
            </w:pPr>
            <w:r>
              <w:t xml:space="preserve">171.1978171</w:t>
            </w:r>
          </w:p>
        </w:tc>
      </w:tr>
      <w:tr>
        <w:tc>
          <w:tcPr/>
          <w:p>
            <w:pPr>
              <w:pStyle w:val="Compact"/>
              <w:jc w:val="left"/>
            </w:pPr>
            <w:r>
              <w:t xml:space="preserve">indian</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2.733333</w:t>
            </w:r>
          </w:p>
        </w:tc>
        <w:tc>
          <w:tcPr/>
          <w:p>
            <w:pPr>
              <w:pStyle w:val="Compact"/>
              <w:jc w:val="right"/>
            </w:pPr>
            <w:r>
              <w:t xml:space="preserve">0.2081666</w:t>
            </w:r>
          </w:p>
        </w:tc>
      </w:tr>
      <w:tr>
        <w:tc>
          <w:tcPr/>
          <w:p>
            <w:pPr>
              <w:pStyle w:val="Compact"/>
              <w:jc w:val="left"/>
            </w:pPr>
            <w:r>
              <w:t xml:space="preserve">indian</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212.209667</w:t>
            </w:r>
          </w:p>
        </w:tc>
        <w:tc>
          <w:tcPr/>
          <w:p>
            <w:pPr>
              <w:pStyle w:val="Compact"/>
              <w:jc w:val="right"/>
            </w:pPr>
            <w:r>
              <w:t xml:space="preserve">8.0513622</w:t>
            </w:r>
          </w:p>
        </w:tc>
      </w:tr>
      <w:tr>
        <w:tc>
          <w:tcPr/>
          <w:p>
            <w:pPr>
              <w:pStyle w:val="Compact"/>
              <w:jc w:val="left"/>
            </w:pPr>
            <w:r>
              <w:t xml:space="preserve">indian</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3.361333</w:t>
            </w:r>
          </w:p>
        </w:tc>
        <w:tc>
          <w:tcPr/>
          <w:p>
            <w:pPr>
              <w:pStyle w:val="Compact"/>
              <w:jc w:val="right"/>
            </w:pPr>
            <w:r>
              <w:t xml:space="preserve">0.0991682</w:t>
            </w:r>
          </w:p>
        </w:tc>
      </w:tr>
      <w:tr>
        <w:tc>
          <w:tcPr/>
          <w:p>
            <w:pPr>
              <w:pStyle w:val="Compact"/>
              <w:jc w:val="left"/>
            </w:pPr>
            <w:r>
              <w:t xml:space="preserve">indian</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1.251333</w:t>
            </w:r>
          </w:p>
        </w:tc>
        <w:tc>
          <w:tcPr/>
          <w:p>
            <w:pPr>
              <w:pStyle w:val="Compact"/>
              <w:jc w:val="right"/>
            </w:pPr>
            <w:r>
              <w:t xml:space="preserve">0.0415251</w:t>
            </w:r>
          </w:p>
        </w:tc>
      </w:tr>
      <w:tr>
        <w:tc>
          <w:tcPr/>
          <w:p>
            <w:pPr>
              <w:pStyle w:val="Compact"/>
              <w:jc w:val="left"/>
            </w:pPr>
            <w:r>
              <w:t xml:space="preserve">indian</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147.531000</w:t>
            </w:r>
          </w:p>
        </w:tc>
        <w:tc>
          <w:tcPr/>
          <w:p>
            <w:pPr>
              <w:pStyle w:val="Compact"/>
              <w:jc w:val="right"/>
            </w:pPr>
            <w:r>
              <w:t xml:space="preserve">13.6757334</w:t>
            </w:r>
          </w:p>
        </w:tc>
      </w:tr>
      <w:tr>
        <w:tc>
          <w:tcPr/>
          <w:p>
            <w:pPr>
              <w:pStyle w:val="Compact"/>
              <w:jc w:val="left"/>
            </w:pPr>
            <w:r>
              <w:t xml:space="preserve">mashapaug</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23.800000</w:t>
            </w:r>
          </w:p>
        </w:tc>
        <w:tc>
          <w:tcPr/>
          <w:p>
            <w:pPr>
              <w:pStyle w:val="Compact"/>
              <w:jc w:val="right"/>
            </w:pPr>
            <w:r>
              <w:t xml:space="preserve">2.3643181</w:t>
            </w:r>
          </w:p>
        </w:tc>
      </w:tr>
      <w:tr>
        <w:tc>
          <w:tcPr/>
          <w:p>
            <w:pPr>
              <w:pStyle w:val="Compact"/>
              <w:jc w:val="left"/>
            </w:pPr>
            <w:r>
              <w:t xml:space="preserve">mashapaug</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1295.414667</w:t>
            </w:r>
          </w:p>
        </w:tc>
        <w:tc>
          <w:tcPr/>
          <w:p>
            <w:pPr>
              <w:pStyle w:val="Compact"/>
              <w:jc w:val="right"/>
            </w:pPr>
            <w:r>
              <w:t xml:space="preserve">351.4313508</w:t>
            </w:r>
          </w:p>
        </w:tc>
      </w:tr>
      <w:tr>
        <w:tc>
          <w:tcPr/>
          <w:p>
            <w:pPr>
              <w:pStyle w:val="Compact"/>
              <w:jc w:val="left"/>
            </w:pPr>
            <w:r>
              <w:t xml:space="preserve">mashapaug</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29.779000</w:t>
            </w:r>
          </w:p>
        </w:tc>
        <w:tc>
          <w:tcPr/>
          <w:p>
            <w:pPr>
              <w:pStyle w:val="Compact"/>
              <w:jc w:val="right"/>
            </w:pPr>
            <w:r>
              <w:t xml:space="preserve">4.0382975</w:t>
            </w:r>
          </w:p>
        </w:tc>
      </w:tr>
      <w:tr>
        <w:tc>
          <w:tcPr/>
          <w:p>
            <w:pPr>
              <w:pStyle w:val="Compact"/>
              <w:jc w:val="left"/>
            </w:pPr>
            <w:r>
              <w:t xml:space="preserve">mashapaug</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32.204667</w:t>
            </w:r>
          </w:p>
        </w:tc>
        <w:tc>
          <w:tcPr/>
          <w:p>
            <w:pPr>
              <w:pStyle w:val="Compact"/>
              <w:jc w:val="right"/>
            </w:pPr>
            <w:r>
              <w:t xml:space="preserve">3.5591806</w:t>
            </w:r>
          </w:p>
        </w:tc>
      </w:tr>
      <w:tr>
        <w:tc>
          <w:tcPr/>
          <w:p>
            <w:pPr>
              <w:pStyle w:val="Compact"/>
              <w:jc w:val="left"/>
            </w:pPr>
            <w:r>
              <w:t xml:space="preserve">mashapaug</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768.423333</w:t>
            </w:r>
          </w:p>
        </w:tc>
        <w:tc>
          <w:tcPr/>
          <w:p>
            <w:pPr>
              <w:pStyle w:val="Compact"/>
              <w:jc w:val="right"/>
            </w:pPr>
            <w:r>
              <w:t xml:space="preserve">193.8320654</w:t>
            </w:r>
          </w:p>
        </w:tc>
      </w:tr>
      <w:tr>
        <w:tc>
          <w:tcPr/>
          <w:p>
            <w:pPr>
              <w:pStyle w:val="Compact"/>
              <w:jc w:val="left"/>
            </w:pPr>
            <w:r>
              <w:t xml:space="preserve">warwick</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22.700000</w:t>
            </w:r>
          </w:p>
        </w:tc>
        <w:tc>
          <w:tcPr/>
          <w:p>
            <w:pPr>
              <w:pStyle w:val="Compact"/>
              <w:jc w:val="right"/>
            </w:pPr>
            <w:r>
              <w:t xml:space="preserve">0.4000000</w:t>
            </w:r>
          </w:p>
        </w:tc>
      </w:tr>
      <w:tr>
        <w:tc>
          <w:tcPr/>
          <w:p>
            <w:pPr>
              <w:pStyle w:val="Compact"/>
              <w:jc w:val="left"/>
            </w:pPr>
            <w:r>
              <w:t xml:space="preserve">warwick</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3714.811333</w:t>
            </w:r>
          </w:p>
        </w:tc>
        <w:tc>
          <w:tcPr/>
          <w:p>
            <w:pPr>
              <w:pStyle w:val="Compact"/>
              <w:jc w:val="right"/>
            </w:pPr>
            <w:r>
              <w:t xml:space="preserve">493.5017599</w:t>
            </w:r>
          </w:p>
        </w:tc>
      </w:tr>
      <w:tr>
        <w:tc>
          <w:tcPr/>
          <w:p>
            <w:pPr>
              <w:pStyle w:val="Compact"/>
              <w:jc w:val="left"/>
            </w:pPr>
            <w:r>
              <w:t xml:space="preserve">warwick</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35.738000</w:t>
            </w:r>
          </w:p>
        </w:tc>
        <w:tc>
          <w:tcPr/>
          <w:p>
            <w:pPr>
              <w:pStyle w:val="Compact"/>
              <w:jc w:val="right"/>
            </w:pPr>
            <w:r>
              <w:t xml:space="preserve">0.7251531</w:t>
            </w:r>
          </w:p>
        </w:tc>
      </w:tr>
      <w:tr>
        <w:tc>
          <w:tcPr/>
          <w:p>
            <w:pPr>
              <w:pStyle w:val="Compact"/>
              <w:jc w:val="left"/>
            </w:pPr>
            <w:r>
              <w:t xml:space="preserve">warwick</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20.029667</w:t>
            </w:r>
          </w:p>
        </w:tc>
        <w:tc>
          <w:tcPr/>
          <w:p>
            <w:pPr>
              <w:pStyle w:val="Compact"/>
              <w:jc w:val="right"/>
            </w:pPr>
            <w:r>
              <w:t xml:space="preserve">0.9715381</w:t>
            </w:r>
          </w:p>
        </w:tc>
      </w:tr>
      <w:tr>
        <w:tc>
          <w:tcPr/>
          <w:p>
            <w:pPr>
              <w:pStyle w:val="Compact"/>
              <w:jc w:val="left"/>
            </w:pPr>
            <w:r>
              <w:t xml:space="preserve">warwick</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2160.846667</w:t>
            </w:r>
          </w:p>
        </w:tc>
        <w:tc>
          <w:tcPr/>
          <w:p>
            <w:pPr>
              <w:pStyle w:val="Compact"/>
              <w:jc w:val="right"/>
            </w:pPr>
            <w:r>
              <w:t xml:space="preserve">402.5396104</w:t>
            </w:r>
          </w:p>
        </w:tc>
      </w:tr>
      <w:tr>
        <w:tc>
          <w:tcPr/>
          <w:p>
            <w:pPr>
              <w:pStyle w:val="Compact"/>
              <w:jc w:val="left"/>
            </w:pPr>
            <w:r>
              <w:t xml:space="preserve">yawgoo</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3.500000</w:t>
            </w:r>
          </w:p>
        </w:tc>
        <w:tc>
          <w:tcPr/>
          <w:p>
            <w:pPr>
              <w:pStyle w:val="Compact"/>
              <w:jc w:val="right"/>
            </w:pPr>
            <w:r>
              <w:t xml:space="preserve">NA</w:t>
            </w:r>
          </w:p>
        </w:tc>
      </w:tr>
      <w:tr>
        <w:tc>
          <w:tcPr/>
          <w:p>
            <w:pPr>
              <w:pStyle w:val="Compact"/>
              <w:jc w:val="left"/>
            </w:pPr>
            <w:r>
              <w:t xml:space="preserve">yawgoo</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309.228000</w:t>
            </w:r>
          </w:p>
        </w:tc>
        <w:tc>
          <w:tcPr/>
          <w:p>
            <w:pPr>
              <w:pStyle w:val="Compact"/>
              <w:jc w:val="right"/>
            </w:pPr>
            <w:r>
              <w:t xml:space="preserve">12.6486455</w:t>
            </w:r>
          </w:p>
        </w:tc>
      </w:tr>
      <w:tr>
        <w:tc>
          <w:tcPr/>
          <w:p>
            <w:pPr>
              <w:pStyle w:val="Compact"/>
              <w:jc w:val="left"/>
            </w:pPr>
            <w:r>
              <w:t xml:space="preserve">yawgoo</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4.460667</w:t>
            </w:r>
          </w:p>
        </w:tc>
        <w:tc>
          <w:tcPr/>
          <w:p>
            <w:pPr>
              <w:pStyle w:val="Compact"/>
              <w:jc w:val="right"/>
            </w:pPr>
            <w:r>
              <w:t xml:space="preserve">0.1345263</w:t>
            </w:r>
          </w:p>
        </w:tc>
      </w:tr>
      <w:tr>
        <w:tc>
          <w:tcPr/>
          <w:p>
            <w:pPr>
              <w:pStyle w:val="Compact"/>
              <w:jc w:val="left"/>
            </w:pPr>
            <w:r>
              <w:t xml:space="preserve">yawgoo</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2.800667</w:t>
            </w:r>
          </w:p>
        </w:tc>
        <w:tc>
          <w:tcPr/>
          <w:p>
            <w:pPr>
              <w:pStyle w:val="Compact"/>
              <w:jc w:val="right"/>
            </w:pPr>
            <w:r>
              <w:t xml:space="preserve">0.1562445</w:t>
            </w:r>
          </w:p>
        </w:tc>
      </w:tr>
      <w:tr>
        <w:tc>
          <w:tcPr/>
          <w:p>
            <w:pPr>
              <w:pStyle w:val="Compact"/>
              <w:jc w:val="left"/>
            </w:pPr>
            <w:r>
              <w:t xml:space="preserve">yawgoo</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211.555667</w:t>
            </w:r>
          </w:p>
        </w:tc>
        <w:tc>
          <w:tcPr/>
          <w:p>
            <w:pPr>
              <w:pStyle w:val="Compact"/>
              <w:jc w:val="right"/>
            </w:pPr>
            <w:r>
              <w:t xml:space="preserve">14.6262123</w:t>
            </w:r>
          </w:p>
        </w:tc>
      </w:tr>
    </w:tbl>
    <w:bookmarkEnd w:id="35"/>
    <w:bookmarkEnd w:id="36"/>
    <w:bookmarkStart w:id="42" w:name="phycocyanin"/>
    <w:p>
      <w:pPr>
        <w:pStyle w:val="Heading2"/>
      </w:pPr>
      <w:r>
        <w:t xml:space="preserve">Phycocyanin</w:t>
      </w:r>
    </w:p>
    <w:p>
      <w:pPr>
        <w:pStyle w:val="FirstParagraph"/>
      </w:pPr>
      <w:r>
        <w:t xml:space="preserve">Extracted phycocyanin measurements ranged from 1.3 ug/L at Indian Lake to 75.0 ug/L in Mashapaug Pond (</w:t>
      </w:r>
      <w:hyperlink w:anchor="tbl-phycosummary">
        <w:r>
          <w:rPr>
            <w:rStyle w:val="Hyperlink"/>
          </w:rPr>
          <w:t xml:space="preserve">Table 2</w:t>
        </w:r>
      </w:hyperlink>
      <w:r>
        <w:t xml:space="preserve">).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but were not directly comparable as both measurements were of cyanobacteria as chlorophyll instead of a direct measure of phycocyanin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jc w:val="start"/>
      </w:tblPr>
      <w:tblGrid>
        <w:gridCol w:w="7920"/>
      </w:tblGrid>
      <w:tr>
        <w:tc>
          <w:tcPr/>
          <w:bookmarkStart w:id="40" w:name="fig-phycoscatter"/>
          <w:p>
            <w:pPr>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p>
      <w:pPr>
        <w:pStyle w:val="BodyText"/>
      </w:pPr>
      <w:r>
        <w:t xml:space="preserve"> </w:t>
      </w:r>
    </w:p>
    <w:bookmarkStart w:id="41" w:name="tbl-phycosummary"/>
    <w:p>
      <w:pPr>
        <w:pStyle w:val="TableCaption"/>
      </w:pPr>
      <w:r>
        <w:t xml:space="preserve">Table 2: Phycocyanin summary data by waterbody and instrument.</w:t>
      </w:r>
    </w:p>
    <w:tbl>
      <w:tblPr>
        <w:tblStyle w:val="Table"/>
        <w:tblW w:type="pct" w:w="5000"/>
        <w:tblLook w:firstRow="1" w:lastRow="0" w:firstColumn="0" w:lastColumn="0" w:noHBand="0" w:noVBand="0" w:val="0020"/>
        <w:jc w:val="start"/>
        <w:tblCaption w:val="Table 2: Phycocyanin summary data by waterbody and instrument."/>
      </w:tblPr>
      <w:tblGrid>
        <w:gridCol w:w="1042"/>
        <w:gridCol w:w="1250"/>
        <w:gridCol w:w="937"/>
        <w:gridCol w:w="2084"/>
        <w:gridCol w:w="1354"/>
        <w:gridCol w:w="1250"/>
      </w:tblGrid>
      <w:tr>
        <w:trPr>
          <w:tblHeader w:val="true"/>
        </w:trPr>
        <w:tc>
          <w:tcPr/>
          <w:p>
            <w:pPr>
              <w:pStyle w:val="Compact"/>
              <w:jc w:val="left"/>
            </w:pPr>
            <w:r>
              <w:t xml:space="preserve">waterbody</w:t>
            </w:r>
          </w:p>
        </w:tc>
        <w:tc>
          <w:tcPr/>
          <w:p>
            <w:pPr>
              <w:pStyle w:val="Compact"/>
              <w:jc w:val="left"/>
            </w:pPr>
            <w:r>
              <w:t xml:space="preserve">instrument</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barber</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1.1333333</w:t>
            </w:r>
          </w:p>
        </w:tc>
        <w:tc>
          <w:tcPr/>
          <w:p>
            <w:pPr>
              <w:pStyle w:val="Compact"/>
              <w:jc w:val="right"/>
            </w:pPr>
            <w:r>
              <w:t xml:space="preserve">0.4932883</w:t>
            </w:r>
          </w:p>
        </w:tc>
      </w:tr>
      <w:tr>
        <w:tc>
          <w:tcPr/>
          <w:p>
            <w:pPr>
              <w:pStyle w:val="Compact"/>
              <w:jc w:val="left"/>
            </w:pPr>
            <w:r>
              <w:t xml:space="preserve">barber</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87.7310000</w:t>
            </w:r>
          </w:p>
        </w:tc>
        <w:tc>
          <w:tcPr/>
          <w:p>
            <w:pPr>
              <w:pStyle w:val="Compact"/>
              <w:jc w:val="right"/>
            </w:pPr>
            <w:r>
              <w:t xml:space="preserve">12.9522918</w:t>
            </w:r>
          </w:p>
        </w:tc>
      </w:tr>
      <w:tr>
        <w:tc>
          <w:tcPr/>
          <w:p>
            <w:pPr>
              <w:pStyle w:val="Compact"/>
              <w:jc w:val="left"/>
            </w:pPr>
            <w:r>
              <w:t xml:space="preserve">barber</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2.3333333</w:t>
            </w:r>
          </w:p>
        </w:tc>
        <w:tc>
          <w:tcPr/>
          <w:p>
            <w:pPr>
              <w:pStyle w:val="Compact"/>
              <w:jc w:val="right"/>
            </w:pPr>
            <w:r>
              <w:t xml:space="preserve">0.5773503</w:t>
            </w:r>
          </w:p>
        </w:tc>
      </w:tr>
      <w:tr>
        <w:tc>
          <w:tcPr/>
          <w:p>
            <w:pPr>
              <w:pStyle w:val="Compact"/>
              <w:jc w:val="left"/>
            </w:pPr>
            <w:r>
              <w:t xml:space="preserve">barber</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0.5496667</w:t>
            </w:r>
          </w:p>
        </w:tc>
        <w:tc>
          <w:tcPr/>
          <w:p>
            <w:pPr>
              <w:pStyle w:val="Compact"/>
              <w:jc w:val="right"/>
            </w:pPr>
            <w:r>
              <w:t xml:space="preserve">0.1362400</w:t>
            </w:r>
          </w:p>
        </w:tc>
      </w:tr>
      <w:tr>
        <w:tc>
          <w:tcPr/>
          <w:p>
            <w:pPr>
              <w:pStyle w:val="Compact"/>
              <w:jc w:val="left"/>
            </w:pPr>
            <w:r>
              <w:t xml:space="preserve">barber</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0.2293333</w:t>
            </w:r>
          </w:p>
        </w:tc>
        <w:tc>
          <w:tcPr/>
          <w:p>
            <w:pPr>
              <w:pStyle w:val="Compact"/>
              <w:jc w:val="right"/>
            </w:pPr>
            <w:r>
              <w:t xml:space="preserve">0.0466083</w:t>
            </w:r>
          </w:p>
        </w:tc>
      </w:tr>
      <w:tr>
        <w:tc>
          <w:tcPr/>
          <w:p>
            <w:pPr>
              <w:pStyle w:val="Compact"/>
              <w:jc w:val="left"/>
            </w:pPr>
            <w:r>
              <w:t xml:space="preserve">curran</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3.8333333</w:t>
            </w:r>
          </w:p>
        </w:tc>
        <w:tc>
          <w:tcPr/>
          <w:p>
            <w:pPr>
              <w:pStyle w:val="Compact"/>
              <w:jc w:val="right"/>
            </w:pPr>
            <w:r>
              <w:t xml:space="preserve">1.0408330</w:t>
            </w:r>
          </w:p>
        </w:tc>
      </w:tr>
      <w:tr>
        <w:tc>
          <w:tcPr/>
          <w:p>
            <w:pPr>
              <w:pStyle w:val="Compact"/>
              <w:jc w:val="left"/>
            </w:pPr>
            <w:r>
              <w:t xml:space="preserve">curran</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252.0200000</w:t>
            </w:r>
          </w:p>
        </w:tc>
        <w:tc>
          <w:tcPr/>
          <w:p>
            <w:pPr>
              <w:pStyle w:val="Compact"/>
              <w:jc w:val="right"/>
            </w:pPr>
            <w:r>
              <w:t xml:space="preserve">92.0288948</w:t>
            </w:r>
          </w:p>
        </w:tc>
      </w:tr>
      <w:tr>
        <w:tc>
          <w:tcPr/>
          <w:p>
            <w:pPr>
              <w:pStyle w:val="Compact"/>
              <w:jc w:val="left"/>
            </w:pPr>
            <w:r>
              <w:t xml:space="preserve">curran</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4.6666667</w:t>
            </w:r>
          </w:p>
        </w:tc>
        <w:tc>
          <w:tcPr/>
          <w:p>
            <w:pPr>
              <w:pStyle w:val="Compact"/>
              <w:jc w:val="right"/>
            </w:pPr>
            <w:r>
              <w:t xml:space="preserve">1.1547005</w:t>
            </w:r>
          </w:p>
        </w:tc>
      </w:tr>
      <w:tr>
        <w:tc>
          <w:tcPr/>
          <w:p>
            <w:pPr>
              <w:pStyle w:val="Compact"/>
              <w:jc w:val="left"/>
            </w:pPr>
            <w:r>
              <w:t xml:space="preserve">curran</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2.8723333</w:t>
            </w:r>
          </w:p>
        </w:tc>
        <w:tc>
          <w:tcPr/>
          <w:p>
            <w:pPr>
              <w:pStyle w:val="Compact"/>
              <w:jc w:val="right"/>
            </w:pPr>
            <w:r>
              <w:t xml:space="preserve">0.2574050</w:t>
            </w:r>
          </w:p>
        </w:tc>
      </w:tr>
      <w:tr>
        <w:tc>
          <w:tcPr/>
          <w:p>
            <w:pPr>
              <w:pStyle w:val="Compact"/>
              <w:jc w:val="left"/>
            </w:pPr>
            <w:r>
              <w:t xml:space="preserve">curran</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1.4926667</w:t>
            </w:r>
          </w:p>
        </w:tc>
        <w:tc>
          <w:tcPr/>
          <w:p>
            <w:pPr>
              <w:pStyle w:val="Compact"/>
              <w:jc w:val="right"/>
            </w:pPr>
            <w:r>
              <w:t xml:space="preserve">0.3635331</w:t>
            </w:r>
          </w:p>
        </w:tc>
      </w:tr>
      <w:tr>
        <w:tc>
          <w:tcPr/>
          <w:p>
            <w:pPr>
              <w:pStyle w:val="Compact"/>
              <w:jc w:val="left"/>
            </w:pPr>
            <w:r>
              <w:t xml:space="preserve">indian</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0.9000000</w:t>
            </w:r>
          </w:p>
        </w:tc>
        <w:tc>
          <w:tcPr/>
          <w:p>
            <w:pPr>
              <w:pStyle w:val="Compact"/>
              <w:jc w:val="right"/>
            </w:pPr>
            <w:r>
              <w:t xml:space="preserve">0.2000000</w:t>
            </w:r>
          </w:p>
        </w:tc>
      </w:tr>
      <w:tr>
        <w:tc>
          <w:tcPr/>
          <w:p>
            <w:pPr>
              <w:pStyle w:val="Compact"/>
              <w:jc w:val="left"/>
            </w:pPr>
            <w:r>
              <w:t xml:space="preserve">indian</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29.8370000</w:t>
            </w:r>
          </w:p>
        </w:tc>
        <w:tc>
          <w:tcPr/>
          <w:p>
            <w:pPr>
              <w:pStyle w:val="Compact"/>
              <w:jc w:val="right"/>
            </w:pPr>
            <w:r>
              <w:t xml:space="preserve">5.3031971</w:t>
            </w:r>
          </w:p>
        </w:tc>
      </w:tr>
      <w:tr>
        <w:tc>
          <w:tcPr/>
          <w:p>
            <w:pPr>
              <w:pStyle w:val="Compact"/>
              <w:jc w:val="left"/>
            </w:pPr>
            <w:r>
              <w:t xml:space="preserve">indian</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1.0000000</w:t>
            </w:r>
          </w:p>
        </w:tc>
        <w:tc>
          <w:tcPr/>
          <w:p>
            <w:pPr>
              <w:pStyle w:val="Compact"/>
              <w:jc w:val="right"/>
            </w:pPr>
            <w:r>
              <w:t xml:space="preserve">0.0000000</w:t>
            </w:r>
          </w:p>
        </w:tc>
      </w:tr>
      <w:tr>
        <w:tc>
          <w:tcPr/>
          <w:p>
            <w:pPr>
              <w:pStyle w:val="Compact"/>
              <w:jc w:val="left"/>
            </w:pPr>
            <w:r>
              <w:t xml:space="preserve">indian</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0.3786667</w:t>
            </w:r>
          </w:p>
        </w:tc>
        <w:tc>
          <w:tcPr/>
          <w:p>
            <w:pPr>
              <w:pStyle w:val="Compact"/>
              <w:jc w:val="right"/>
            </w:pPr>
            <w:r>
              <w:t xml:space="preserve">0.1347974</w:t>
            </w:r>
          </w:p>
        </w:tc>
      </w:tr>
      <w:tr>
        <w:tc>
          <w:tcPr/>
          <w:p>
            <w:pPr>
              <w:pStyle w:val="Compact"/>
              <w:jc w:val="left"/>
            </w:pPr>
            <w:r>
              <w:t xml:space="preserve">indian</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0.1716667</w:t>
            </w:r>
          </w:p>
        </w:tc>
        <w:tc>
          <w:tcPr/>
          <w:p>
            <w:pPr>
              <w:pStyle w:val="Compact"/>
              <w:jc w:val="right"/>
            </w:pPr>
            <w:r>
              <w:t xml:space="preserve">0.0470142</w:t>
            </w:r>
          </w:p>
        </w:tc>
      </w:tr>
      <w:tr>
        <w:tc>
          <w:tcPr/>
          <w:p>
            <w:pPr>
              <w:pStyle w:val="Compact"/>
              <w:jc w:val="left"/>
            </w:pPr>
            <w:r>
              <w:t xml:space="preserve">mashapaug</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16.9000000</w:t>
            </w:r>
          </w:p>
        </w:tc>
        <w:tc>
          <w:tcPr/>
          <w:p>
            <w:pPr>
              <w:pStyle w:val="Compact"/>
              <w:jc w:val="right"/>
            </w:pPr>
            <w:r>
              <w:t xml:space="preserve">0.9643651</w:t>
            </w:r>
          </w:p>
        </w:tc>
      </w:tr>
      <w:tr>
        <w:tc>
          <w:tcPr/>
          <w:p>
            <w:pPr>
              <w:pStyle w:val="Compact"/>
              <w:jc w:val="left"/>
            </w:pPr>
            <w:r>
              <w:t xml:space="preserve">mashapaug</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1940.0666667</w:t>
            </w:r>
          </w:p>
        </w:tc>
        <w:tc>
          <w:tcPr/>
          <w:p>
            <w:pPr>
              <w:pStyle w:val="Compact"/>
              <w:jc w:val="right"/>
            </w:pPr>
            <w:r>
              <w:t xml:space="preserve">139.2998820</w:t>
            </w:r>
          </w:p>
        </w:tc>
      </w:tr>
      <w:tr>
        <w:tc>
          <w:tcPr/>
          <w:p>
            <w:pPr>
              <w:pStyle w:val="Compact"/>
              <w:jc w:val="left"/>
            </w:pPr>
            <w:r>
              <w:t xml:space="preserve">mashapaug</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29.6666667</w:t>
            </w:r>
          </w:p>
        </w:tc>
        <w:tc>
          <w:tcPr/>
          <w:p>
            <w:pPr>
              <w:pStyle w:val="Compact"/>
              <w:jc w:val="right"/>
            </w:pPr>
            <w:r>
              <w:t xml:space="preserve">4.5092498</w:t>
            </w:r>
          </w:p>
        </w:tc>
      </w:tr>
      <w:tr>
        <w:tc>
          <w:tcPr/>
          <w:p>
            <w:pPr>
              <w:pStyle w:val="Compact"/>
              <w:jc w:val="left"/>
            </w:pPr>
            <w:r>
              <w:t xml:space="preserve">mashapaug</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21.5096667</w:t>
            </w:r>
          </w:p>
        </w:tc>
        <w:tc>
          <w:tcPr/>
          <w:p>
            <w:pPr>
              <w:pStyle w:val="Compact"/>
              <w:jc w:val="right"/>
            </w:pPr>
            <w:r>
              <w:t xml:space="preserve">1.7065068</w:t>
            </w:r>
          </w:p>
        </w:tc>
      </w:tr>
      <w:tr>
        <w:tc>
          <w:tcPr/>
          <w:p>
            <w:pPr>
              <w:pStyle w:val="Compact"/>
              <w:jc w:val="left"/>
            </w:pPr>
            <w:r>
              <w:t xml:space="preserve">mashapaug</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10.5170000</w:t>
            </w:r>
          </w:p>
        </w:tc>
        <w:tc>
          <w:tcPr/>
          <w:p>
            <w:pPr>
              <w:pStyle w:val="Compact"/>
              <w:jc w:val="right"/>
            </w:pPr>
            <w:r>
              <w:t xml:space="preserve">2.5537950</w:t>
            </w:r>
          </w:p>
        </w:tc>
      </w:tr>
      <w:tr>
        <w:tc>
          <w:tcPr/>
          <w:p>
            <w:pPr>
              <w:pStyle w:val="Compact"/>
              <w:jc w:val="left"/>
            </w:pPr>
            <w:r>
              <w:t xml:space="preserve">warwick</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8.2000000</w:t>
            </w:r>
          </w:p>
        </w:tc>
        <w:tc>
          <w:tcPr/>
          <w:p>
            <w:pPr>
              <w:pStyle w:val="Compact"/>
              <w:jc w:val="right"/>
            </w:pPr>
            <w:r>
              <w:t xml:space="preserve">0.1000000</w:t>
            </w:r>
          </w:p>
        </w:tc>
      </w:tr>
      <w:tr>
        <w:tc>
          <w:tcPr/>
          <w:p>
            <w:pPr>
              <w:pStyle w:val="Compact"/>
              <w:jc w:val="left"/>
            </w:pPr>
            <w:r>
              <w:t xml:space="preserve">warwick</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1263.0890000</w:t>
            </w:r>
          </w:p>
        </w:tc>
        <w:tc>
          <w:tcPr/>
          <w:p>
            <w:pPr>
              <w:pStyle w:val="Compact"/>
              <w:jc w:val="right"/>
            </w:pPr>
            <w:r>
              <w:t xml:space="preserve">170.4647138</w:t>
            </w:r>
          </w:p>
        </w:tc>
      </w:tr>
      <w:tr>
        <w:tc>
          <w:tcPr/>
          <w:p>
            <w:pPr>
              <w:pStyle w:val="Compact"/>
              <w:jc w:val="left"/>
            </w:pPr>
            <w:r>
              <w:t xml:space="preserve">warwick</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11.0000000</w:t>
            </w:r>
          </w:p>
        </w:tc>
        <w:tc>
          <w:tcPr/>
          <w:p>
            <w:pPr>
              <w:pStyle w:val="Compact"/>
              <w:jc w:val="right"/>
            </w:pPr>
            <w:r>
              <w:t xml:space="preserve">0.0000000</w:t>
            </w:r>
          </w:p>
        </w:tc>
      </w:tr>
      <w:tr>
        <w:tc>
          <w:tcPr/>
          <w:p>
            <w:pPr>
              <w:pStyle w:val="Compact"/>
              <w:jc w:val="left"/>
            </w:pPr>
            <w:r>
              <w:t xml:space="preserve">warwick</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12.3646667</w:t>
            </w:r>
          </w:p>
        </w:tc>
        <w:tc>
          <w:tcPr/>
          <w:p>
            <w:pPr>
              <w:pStyle w:val="Compact"/>
              <w:jc w:val="right"/>
            </w:pPr>
            <w:r>
              <w:t xml:space="preserve">0.7220196</w:t>
            </w:r>
          </w:p>
        </w:tc>
      </w:tr>
      <w:tr>
        <w:tc>
          <w:tcPr/>
          <w:p>
            <w:pPr>
              <w:pStyle w:val="Compact"/>
              <w:jc w:val="left"/>
            </w:pPr>
            <w:r>
              <w:t xml:space="preserve">warwick</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2.4110000</w:t>
            </w:r>
          </w:p>
        </w:tc>
        <w:tc>
          <w:tcPr/>
          <w:p>
            <w:pPr>
              <w:pStyle w:val="Compact"/>
              <w:jc w:val="right"/>
            </w:pPr>
            <w:r>
              <w:t xml:space="preserve">0.4601011</w:t>
            </w:r>
          </w:p>
        </w:tc>
      </w:tr>
      <w:tr>
        <w:tc>
          <w:tcPr/>
          <w:p>
            <w:pPr>
              <w:pStyle w:val="Compact"/>
              <w:jc w:val="left"/>
            </w:pPr>
            <w:r>
              <w:t xml:space="preserve">yawgoo</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2.5000000</w:t>
            </w:r>
          </w:p>
        </w:tc>
        <w:tc>
          <w:tcPr/>
          <w:p>
            <w:pPr>
              <w:pStyle w:val="Compact"/>
              <w:jc w:val="right"/>
            </w:pPr>
            <w:r>
              <w:t xml:space="preserve">NA</w:t>
            </w:r>
          </w:p>
        </w:tc>
      </w:tr>
      <w:tr>
        <w:tc>
          <w:tcPr/>
          <w:p>
            <w:pPr>
              <w:pStyle w:val="Compact"/>
              <w:jc w:val="left"/>
            </w:pPr>
            <w:r>
              <w:t xml:space="preserve">yawgoo</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141.7686667</w:t>
            </w:r>
          </w:p>
        </w:tc>
        <w:tc>
          <w:tcPr/>
          <w:p>
            <w:pPr>
              <w:pStyle w:val="Compact"/>
              <w:jc w:val="right"/>
            </w:pPr>
            <w:r>
              <w:t xml:space="preserve">33.2355976</w:t>
            </w:r>
          </w:p>
        </w:tc>
      </w:tr>
      <w:tr>
        <w:tc>
          <w:tcPr/>
          <w:p>
            <w:pPr>
              <w:pStyle w:val="Compact"/>
              <w:jc w:val="left"/>
            </w:pPr>
            <w:r>
              <w:t xml:space="preserve">yawgoo</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2.0000000</w:t>
            </w:r>
          </w:p>
        </w:tc>
        <w:tc>
          <w:tcPr/>
          <w:p>
            <w:pPr>
              <w:pStyle w:val="Compact"/>
              <w:jc w:val="right"/>
            </w:pPr>
            <w:r>
              <w:t xml:space="preserve">0.0000000</w:t>
            </w:r>
          </w:p>
        </w:tc>
      </w:tr>
      <w:tr>
        <w:tc>
          <w:tcPr/>
          <w:p>
            <w:pPr>
              <w:pStyle w:val="Compact"/>
              <w:jc w:val="left"/>
            </w:pPr>
            <w:r>
              <w:t xml:space="preserve">yawgoo</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1.2956667</w:t>
            </w:r>
          </w:p>
        </w:tc>
        <w:tc>
          <w:tcPr/>
          <w:p>
            <w:pPr>
              <w:pStyle w:val="Compact"/>
              <w:jc w:val="right"/>
            </w:pPr>
            <w:r>
              <w:t xml:space="preserve">0.2882314</w:t>
            </w:r>
          </w:p>
        </w:tc>
      </w:tr>
      <w:tr>
        <w:tc>
          <w:tcPr/>
          <w:p>
            <w:pPr>
              <w:pStyle w:val="Compact"/>
              <w:jc w:val="left"/>
            </w:pPr>
            <w:r>
              <w:t xml:space="preserve">yawgoo</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1.0496667</w:t>
            </w:r>
          </w:p>
        </w:tc>
        <w:tc>
          <w:tcPr/>
          <w:p>
            <w:pPr>
              <w:pStyle w:val="Compact"/>
              <w:jc w:val="right"/>
            </w:pPr>
            <w:r>
              <w:t xml:space="preserve">0.0695725</w:t>
            </w:r>
          </w:p>
        </w:tc>
      </w:tr>
    </w:tbl>
    <w:bookmarkEnd w:id="41"/>
    <w:bookmarkEnd w:id="42"/>
    <w:bookmarkStart w:id="59" w:name="phytoplankton-counts-1"/>
    <w:p>
      <w:pPr>
        <w:pStyle w:val="Heading2"/>
      </w:pPr>
      <w:r>
        <w:t xml:space="preserve">Phytoplankton Counts</w:t>
      </w:r>
    </w:p>
    <w:p>
      <w:pPr>
        <w:pStyle w:val="FirstParagraph"/>
      </w:pPr>
      <w:r>
        <w:t xml:space="preserve">Cyanophytes were the dominant taxa by relative biovolume at Curran (0.75), Mashapaug (0.87), and Warwick (0.89); Chrysophytes at Barber (0.39) and Yawgoo (0.44); and Bacillariophytes at Indian (0.41)(</w:t>
      </w:r>
      <w:hyperlink w:anchor="fig-relbv">
        <w:r>
          <w:rPr>
            <w:rStyle w:val="Hyperlink"/>
          </w:rPr>
          <w:t xml:space="preserve">Figure 4</w:t>
        </w:r>
      </w:hyperlink>
      <w:r>
        <w:t xml:space="preserve">).  Total biovolume concentrations were highest at Mashapaug (2.12x10</w:t>
      </w:r>
      <w:r>
        <w:rPr>
          <w:vertAlign w:val="superscript"/>
        </w:rPr>
        <w:t xml:space="preserve">7</w:t>
      </w:r>
      <w:r>
        <w:t xml:space="preserve">), Warwick (1.44x10</w:t>
      </w:r>
      <w:r>
        <w:rPr>
          <w:vertAlign w:val="superscript"/>
        </w:rPr>
        <w:t xml:space="preserve">7</w:t>
      </w:r>
      <w:r>
        <w:t xml:space="preserve">), and Curran (3.22x10</w:t>
      </w:r>
      <w:r>
        <w:rPr>
          <w:vertAlign w:val="superscript"/>
        </w:rPr>
        <w:t xml:space="preserve">6</w:t>
      </w:r>
      <w:r>
        <w:t xml:space="preserve">)(</w:t>
      </w:r>
      <w:hyperlink w:anchor="fig-bv">
        <w:r>
          <w:rPr>
            <w:rStyle w:val="Hyperlink"/>
          </w:rPr>
          <w:t xml:space="preserve">Figure 5</w:t>
        </w:r>
      </w:hyperlink>
      <w:r>
        <w:t xml:space="preserve">). Microcystis was the dominant genus at Mashapaug and Warwick, while Chrysosporum was dominant at Curran (</w:t>
      </w:r>
      <w:hyperlink w:anchor="tbl-supp">
        <w:r>
          <w:rPr>
            <w:rStyle w:val="Hyperlink"/>
          </w:rPr>
          <w:t xml:space="preserve">Table 3</w:t>
        </w:r>
      </w:hyperlink>
      <w:r>
        <w:t xml:space="preserve">).</w:t>
      </w:r>
    </w:p>
    <w:tbl>
      <w:tblPr>
        <w:tblStyle w:val="Table"/>
        <w:tblW w:type="pct" w:w="5000"/>
        <w:tblLook w:firstRow="0" w:lastRow="0" w:firstColumn="0" w:lastColumn="0" w:noHBand="0" w:noVBand="0" w:val="0000"/>
        <w:jc w:val="start"/>
      </w:tblPr>
      <w:tblGrid>
        <w:gridCol w:w="7920"/>
      </w:tblGrid>
      <w:tr>
        <w:tc>
          <w:tcPr/>
          <w:bookmarkStart w:id="46" w:name="fig-relbv"/>
          <w:p>
            <w:pPr>
              <w:jc w:val="center"/>
            </w:pPr>
            <w:r>
              <w:drawing>
                <wp:inline>
                  <wp:extent cx="5943600" cy="3671047"/>
                  <wp:effectExtent b="0" l="0" r="0" t="0"/>
                  <wp:docPr descr="" title="" id="44" name="Picture"/>
                  <a:graphic>
                    <a:graphicData uri="http://schemas.openxmlformats.org/drawingml/2006/picture">
                      <pic:pic>
                        <pic:nvPicPr>
                          <pic:cNvPr descr="images/fig4_rel_bio_bar.jpg" id="45" name="Picture"/>
                          <pic:cNvPicPr>
                            <a:picLocks noChangeArrowheads="1" noChangeAspect="1"/>
                          </pic:cNvPicPr>
                        </pic:nvPicPr>
                        <pic:blipFill>
                          <a:blip r:embed="rId4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Relative Biovolume of divisions by waterbody</w:t>
            </w:r>
          </w:p>
          <w:bookmarkEnd w:id="4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0" w:name="fig-bv"/>
          <w:p>
            <w:pPr>
              <w:jc w:val="center"/>
            </w:pPr>
            <w:r>
              <w:drawing>
                <wp:inline>
                  <wp:extent cx="5943600" cy="3671047"/>
                  <wp:effectExtent b="0" l="0" r="0" t="0"/>
                  <wp:docPr descr="" title="" id="48" name="Picture"/>
                  <a:graphic>
                    <a:graphicData uri="http://schemas.openxmlformats.org/drawingml/2006/picture">
                      <pic:pic>
                        <pic:nvPicPr>
                          <pic:cNvPr descr="images/fig5_total_bio_bar.jpg" id="49" name="Picture"/>
                          <pic:cNvPicPr>
                            <a:picLocks noChangeArrowheads="1" noChangeAspect="1"/>
                          </pic:cNvPicPr>
                        </pic:nvPicPr>
                        <pic:blipFill>
                          <a:blip r:embed="rId4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Total Biovlume of divisions by waterbody</w:t>
            </w:r>
          </w:p>
          <w:bookmarkEnd w:id="50"/>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6</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7920"/>
      </w:tblGrid>
      <w:tr>
        <w:tc>
          <w:tcPr/>
          <w:bookmarkStart w:id="54" w:name="fig-chlcount"/>
          <w:p>
            <w:pPr>
              <w:jc w:val="center"/>
            </w:pPr>
            <w:r>
              <w:drawing>
                <wp:inline>
                  <wp:extent cx="5943600" cy="3671047"/>
                  <wp:effectExtent b="0" l="0" r="0" t="0"/>
                  <wp:docPr descr="" title="" id="52" name="Picture"/>
                  <a:graphic>
                    <a:graphicData uri="http://schemas.openxmlformats.org/drawingml/2006/picture">
                      <pic:pic>
                        <pic:nvPicPr>
                          <pic:cNvPr descr="images/fig6_chl_vs_cells.jpg" id="53" name="Picture"/>
                          <pic:cNvPicPr>
                            <a:picLocks noChangeArrowheads="1" noChangeAspect="1"/>
                          </pic:cNvPicPr>
                        </pic:nvPicPr>
                        <pic:blipFill>
                          <a:blip r:embed="rId5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chlorophyll to cyanobacteria cell counts</w:t>
            </w:r>
          </w:p>
          <w:bookmarkEnd w:id="5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8" w:name="fig-phycocount"/>
          <w:p>
            <w:pPr>
              <w:jc w:val="center"/>
            </w:pPr>
            <w:r>
              <w:drawing>
                <wp:inline>
                  <wp:extent cx="5943600" cy="3671047"/>
                  <wp:effectExtent b="0" l="0" r="0" t="0"/>
                  <wp:docPr descr="" title="" id="56" name="Picture"/>
                  <a:graphic>
                    <a:graphicData uri="http://schemas.openxmlformats.org/drawingml/2006/picture">
                      <pic:pic>
                        <pic:nvPicPr>
                          <pic:cNvPr descr="images/fig7_phyco_vs_cells.jpg" id="57" name="Picture"/>
                          <pic:cNvPicPr>
                            <a:picLocks noChangeArrowheads="1" noChangeAspect="1"/>
                          </pic:cNvPicPr>
                        </pic:nvPicPr>
                        <pic:blipFill>
                          <a:blip r:embed="rId55"/>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Compare fluorometer phycocyanin to cyanobacteria cell counts</w:t>
            </w:r>
          </w:p>
          <w:bookmarkEnd w:id="58"/>
        </w:tc>
      </w:tr>
    </w:tbl>
    <w:bookmarkEnd w:id="59"/>
    <w:bookmarkEnd w:id="60"/>
    <w:bookmarkStart w:id="61" w:name="discussion"/>
    <w:p>
      <w:pPr>
        <w:pStyle w:val="Heading1"/>
      </w:pPr>
      <w:r>
        <w:t xml:space="preserve">Discussion</w:t>
      </w:r>
    </w:p>
    <w:p>
      <w:pPr>
        <w:pStyle w:val="FirstParagraph"/>
      </w:pPr>
      <w:r>
        <w:t xml:space="preserve">The results from this study indicate that in-vivo phycocyanin is better related to extracted phycocyanin when compared to the same measurements for chlorophyll. Similarly, phycocyanin from all instruments was better correlated to cell counts than chlorophyll measurements. Instruments measuring phycocyanin were better able to handle differences in the phytoplankton community between these study ponds that cause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even with the differences in phytoplankton concentrations and community dynamics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(Hambdhani et al. 2021).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but the output from these instruments is not a direct measure of phycocyanin; instead, these instruments measure the percentage of the chlorophyll that is derived from cyanobacteria.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(Thomson-Laing et al. 2020).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total biovolume of cyanobacteria were the highest in Mashapaug and it is likely that these high concentrations were underestimating the in vivo concentrations of chlorophyll (Zamyadi et al . 2012).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(Silva et al. 2016).</w:t>
      </w:r>
    </w:p>
    <w:p>
      <w:pPr>
        <w:pStyle w:val="BodyText"/>
      </w:pPr>
      <w:r>
        <w:t xml:space="preserve">This study supports the use of extracted chlorophyll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in-vivo fluorometry across a spectrum of prices. We hope this study will encourage further research and consideration of using in-vivo phycocyanin as alternative to cell counts and in situations were extractive techniques are not able to be used.</w:t>
      </w:r>
    </w:p>
    <w:bookmarkEnd w:id="61"/>
    <w:bookmarkStart w:id="62" w:name="acknowledgements"/>
    <w:p>
      <w:pPr>
        <w:pStyle w:val="Heading1"/>
      </w:pPr>
      <w:r>
        <w:t xml:space="preserve">Acknowledgements</w:t>
      </w:r>
    </w:p>
    <w:p>
      <w:pPr>
        <w:pStyle w:val="FirstParagraph"/>
      </w:pPr>
      <w:r>
        <w:t xml:space="preserve">We are grateful to EPA Reviewer 1, EPA Reviewer 2, EPA Reviewer 3, ACESD QAM, ACESD Supervisor,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62"/>
    <w:bookmarkStart w:id="64" w:name="supplement"/>
    <w:p>
      <w:pPr>
        <w:pStyle w:val="Heading1"/>
      </w:pPr>
      <w:r>
        <w:t xml:space="preserve">Supplement</w:t>
      </w:r>
    </w:p>
    <w:bookmarkStart w:id="63" w:name="tbl-supp"/>
    <w:p>
      <w:pPr>
        <w:pStyle w:val="TableCaption"/>
      </w:pPr>
      <w:r>
        <w:t xml:space="preserve">Table 3: Waterbody, Cyano Genus, Relative Biovolume Total Biovolume</w:t>
      </w:r>
    </w:p>
    <w:tbl>
      <w:tblPr>
        <w:tblStyle w:val="Table"/>
        <w:tblW w:type="pct" w:w="5000"/>
        <w:tblLook w:firstRow="1" w:lastRow="0" w:firstColumn="0" w:lastColumn="0" w:noHBand="0" w:noVBand="0" w:val="0020"/>
        <w:jc w:val="start"/>
        <w:tblCaption w:val="Table 3: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63"/>
    <w:bookmarkEnd w:id="64"/>
    <w:bookmarkStart w:id="65" w:name="references"/>
    <w:p>
      <w:pPr>
        <w:pStyle w:val="Heading1"/>
      </w:pPr>
      <w:r>
        <w:t xml:space="preserve">References</w:t>
      </w:r>
    </w:p>
    <w:bookmarkEnd w:id="65"/>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image" Id="rId55" Target="media/rId5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(in-vivo vs extracted) for cyanoHAB monitoring in six Rhode Island ponds</dc:title>
  <dc:creator>Stephen D. Shivers; Jeffrey W. Hollister; Sophie Fournier; Jakob Stankoski; Betty J. Kreakie</dc:creator>
  <cp:keywords/>
  <dcterms:created xsi:type="dcterms:W3CDTF">2023-12-04T17:52:07Z</dcterms:created>
  <dcterms:modified xsi:type="dcterms:W3CDTF">2023-12-04T17:52:07Z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an extraction process. We compared measurements from five in-vivo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in-vivo fluorometers (R2 ranging from 0.78-0.96). We found less consistency between in-vivo measurements of chlorophyll a and the extracted results (R2 between 0.34 and 0.82). Some variability in the chlorophyll a results can be explained by differences in the phytoplankton community at the different sampling locations. Phycocyanin results from in-vivo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in-vivo fluorometry and discussion to move away from cell counts and towards fluorometric based measurements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