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w:t>
      </w:r>
      <w:r>
        <w:t xml:space="preserve"> </w:t>
      </w:r>
      <w:r>
        <w:t xml:space="preserve">in</w:t>
      </w:r>
      <w:r>
        <w:t xml:space="preserve"> </w:t>
      </w:r>
      <w:r>
        <w:t xml:space="preserve">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Title"/>
      </w:pPr>
      <w:r>
        <w:t xml:space="preserve">Abstract</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w:t>
      </w:r>
      <w:r>
        <w:t xml:space="preserve"> </w:t>
      </w:r>
      <w:r>
        <w:t xml:space="preserve">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advanced</w:t>
      </w:r>
      <w:r>
        <w:t xml:space="preserve"> </w:t>
      </w:r>
      <w:r>
        <w:t xml:space="preserve">laboratory</w:t>
      </w:r>
      <w:r>
        <w:t xml:space="preserve"> </w:t>
      </w:r>
      <w:r>
        <w:t xml:space="preserve">processes</w:t>
      </w:r>
      <w:r>
        <w:t xml:space="preserve"> </w:t>
      </w:r>
      <w:r>
        <w:t xml:space="preserve">(e.g.,</w:t>
      </w:r>
      <w:r>
        <w:t xml:space="preserve"> </w:t>
      </w:r>
      <w:r>
        <w:t xml:space="preserve">pigment</w:t>
      </w:r>
      <w:r>
        <w:t xml:space="preserve"> </w:t>
      </w:r>
      <w:r>
        <w:t xml:space="preserve">extraction).</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w:t>
      </w:r>
      <w:r>
        <w:t xml:space="preserve"> </w:t>
      </w:r>
      <w:r>
        <w:t xml:space="preserve">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w:t>
      </w:r>
      <w:r>
        <w:t xml:space="preserve"> </w:t>
      </w:r>
      <w:r>
        <w:t xml:space="preserve">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w:t>
      </w:r>
      <w:r>
        <w:t xml:space="preserve"> </w:t>
      </w:r>
      <w:r>
        <w:t xml:space="preserve">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w:t>
      </w:r>
      <w:r>
        <w:t xml:space="preserve"> </w:t>
      </w:r>
      <w:r>
        <w:t xml:space="preserve">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w:t>
      </w:r>
      <w:r>
        <w:t xml:space="preserve"> </w:t>
      </w:r>
      <w:r>
        <w:t xml:space="preserve">vivo</w:t>
      </w:r>
      <w:r>
        <w:t xml:space="preserve"> </w:t>
      </w:r>
      <w:r>
        <w:t xml:space="preserve">fluorometry</w:t>
      </w:r>
      <w:r>
        <w:t xml:space="preserve"> </w:t>
      </w:r>
      <w:r>
        <w:t xml:space="preserve">and</w:t>
      </w:r>
      <w:r>
        <w:t xml:space="preserve"> </w:t>
      </w:r>
      <w:r>
        <w:t xml:space="preserve">phycocyanin</w:t>
      </w:r>
      <w:r>
        <w:t xml:space="preserve"> </w:t>
      </w:r>
      <w:r>
        <w:t xml:space="preserve">for</w:t>
      </w:r>
      <w:r>
        <w:t xml:space="preserve"> </w:t>
      </w:r>
      <w:r>
        <w:t xml:space="preserve">cyanoHAB</w:t>
      </w:r>
      <w:r>
        <w:t xml:space="preserve"> </w:t>
      </w:r>
      <w:r>
        <w:t xml:space="preserve">monitoring</w:t>
      </w:r>
      <w:r>
        <w:t xml:space="preserve"> </w:t>
      </w:r>
      <w:r>
        <w:t xml:space="preserve">efforts</w:t>
      </w:r>
      <w:r>
        <w:t xml:space="preserve"> </w:t>
      </w:r>
      <w:r>
        <w:t xml:space="preserve">and</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w:t>
      </w:r>
      <w:r>
        <w:t xml:space="preserve">Paerl et al. (2016)</w:t>
      </w:r>
      <w:r>
        <w:t xml:space="preserve">;</w:t>
      </w:r>
      <w:r>
        <w:t xml:space="preserve"> </w:t>
      </w:r>
      <w:r>
        <w:t xml:space="preserve">Schindler et al. (2008)</w:t>
      </w:r>
      <w:r>
        <w:t xml:space="preserve">). These blooms may impact both human and environmental health, particularly if toxins are being produced. CyanoHAB blooms are often transient in nature, can be difficult to accurately quantify, and occur in diverse waterbodies across large spatial scales (</w:t>
      </w:r>
      <w:r>
        <w:t xml:space="preserve">Wynne et al. (2010)</w:t>
      </w:r>
      <w:r>
        <w:t xml:space="preserve">).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on a smaller, more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designed to measure chlorophyll</w:t>
      </w:r>
      <w:r>
        <w:t xml:space="preserve"> </w:t>
      </w:r>
      <w:r>
        <w:rPr>
          <w:iCs/>
          <w:i/>
        </w:rPr>
        <w:t xml:space="preserve">a</w:t>
      </w:r>
      <w:r>
        <w:t xml:space="preserve"> </w:t>
      </w:r>
      <w:r>
        <w:t xml:space="preserve">and/or phycocyanin using in vivo fluorescence without an extraction step. These instruments distinguish between the pigments based on their differing emission spectra. Some instruments (i.e., PhycoProbe) use multiple leds at varying wavelengths to cause excitation and emission of different algal type pigments, thus creating a finer scale breakdown of community composition (</w:t>
      </w:r>
      <w:r>
        <w:t xml:space="preserve">Beutler et al. (2002)</w:t>
      </w:r>
      <w:r>
        <w:t xml:space="preserve">). These instruments can be used in the field, the lab, a combination of both, and have a wide range in cost.</w:t>
      </w:r>
    </w:p>
    <w:p>
      <w:pPr>
        <w:pStyle w:val="BodyText"/>
      </w:pPr>
      <w:r>
        <w:t xml:space="preserve">Field instruments may be placed directly in a waterbody or require sample water to be poured into a cuvette and then placed into a handheld fluorometer. Differences in measurement methods represent a potential source of error when comparing instruments. Additionally, instruments may report values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w:t>
      </w:r>
      <w:r>
        <w:t xml:space="preserve">Liu and Georgakakos (2021)</w:t>
      </w:r>
      <w:r>
        <w:t xml:space="preserve">). Estimation problems can also result from differing phytoplankton/cyanobacteria community composition and growth stage, particularly if colonial cyanobacteria are present as the interior of large colonies will not fluoresce as readily as the exterior (</w:t>
      </w:r>
      <w:r>
        <w:t xml:space="preserve">Rousso et al. (2022)</w:t>
      </w:r>
      <w:r>
        <w:t xml:space="preserve">). Additionally, the physical properties of the sample water can greatly affect fluorescence readings based on turbidity levels and the presence of colored dissolved organic matter (CDOM). Some instruments offer a yellow substance correction to help account for CDOM while others do not (</w:t>
      </w:r>
      <w:r>
        <w:t xml:space="preserve">Cremella, Huot, and Bonilla (2018)</w:t>
      </w:r>
      <w:r>
        <w:t xml:space="preserve">).</w:t>
      </w:r>
    </w:p>
    <w:p>
      <w:pPr>
        <w:pStyle w:val="BodyText"/>
      </w:pPr>
      <w:r>
        <w:t xml:space="preserve">Overall, the physical properties and phytoplankton community composition of a waterbody can cause instruments to estimate pigment concentrations differently. How the different instruments handle these various potential situations can affect their accuracy and precision, and the ability to compare across instrument types. The goal of this paper is to compare several handheld and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For this study, we used five fluorometers that are commonly used by our collaborators in the northeast US. In decreasing order of cost, they are: bbe PhycoProbe, bbe AlgaeTorch, Turner Trilogy (in vivo chlorophyll and orange modules), Turner Cyanofluor, and Turner FluoroSense.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six ponds in Rhode Island. (</w:t>
      </w:r>
      <w:hyperlink w:anchor="fig-map">
        <w:r>
          <w:rPr>
            <w:rStyle w:val="Hyperlink"/>
          </w:rPr>
          <w:t xml:space="preserve">Figure 1</w:t>
        </w:r>
      </w:hyperlink>
      <w:r>
        <w:t xml:space="preserve">). Samples from Barber, Indian and Yawgoo were collected on 2021-10-06 and samples from Curran, Mashapaug, and Warwick were collected on 2021-10-22. Surface samples were collected in triplicate by wading into each pond to a minimum depth of two feet to avoid collecting near the sediment. If a surface scum was present, the scum was gently brushed aside to avoid being collected in the sample bottles. Samples were collected in acid-washed 1 L amber bottles, placed in a cooler with ice, and stored at 4°C until analysis.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pStyle w:val="Compact"/>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Six field sampling locations in Rhode Island, USA</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three replicates (i.e., lab replicates to assess precision) from each field sample were analyzed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 vivo module. Chlorophyll</w:t>
      </w:r>
      <w:r>
        <w:t xml:space="preserve"> </w:t>
      </w:r>
      <w:r>
        <w:rPr>
          <w:iCs/>
          <w:i/>
        </w:rPr>
        <w:t xml:space="preserve">a</w:t>
      </w:r>
      <w:r>
        <w:t xml:space="preserve"> </w:t>
      </w:r>
      <w:r>
        <w:t xml:space="preserve">was extracted by placing frozen GF/F filters in centrifuge tubes with 90% acetone, then placing the tubes for a 20 minute period in a sonicating water bath to lyse cyanobacterial cells (@welschmeyer1994fluorometric). Phycocyanin was extracted from frozen GF/F filters using a 50 mM phosphate buffer as the extraction solvent and following a 15 minute period in a sonicating water bath to lyse cyanobacterial cells (@kasinak2015benchtop).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All phytoplankton samples were collected on 2021-10-06. Water samples for phytoplankton identification and enumeration were decanted from field collected samples into 250 ml amber HDPE bottles and were preserved with 25% glutaraldehyde. Samples were stored at 4°C and shipped the week after collection on ice to Phycotech, Inc. A minimum of 400 natural units were counted per sample, and quantitative biovolume estimates were also performed for each sample. A full description of methods and a quality assurance plan are available from Phycotech, Inc. (https://www.phycotech.com/Portals/0/PDFs/PhycoTech_INFO_PACKET.pdf).</w:t>
      </w:r>
    </w:p>
    <w:bookmarkEnd w:id="28"/>
    <w:bookmarkStart w:id="29" w:name="data-analysis"/>
    <w:p>
      <w:pPr>
        <w:pStyle w:val="Heading2"/>
      </w:pPr>
      <w:r>
        <w:t xml:space="preserve">Data Analysis</w:t>
      </w:r>
    </w:p>
    <w:p>
      <w:pPr>
        <w:pStyle w:val="FirstParagraph"/>
      </w:pPr>
      <w:r>
        <w:t xml:space="preserve">To compare extracted concentrations and cell counts to the various instruments we used simple linear regression and scatterplots. For these regressions and scatterplots, the lab replicates were averaged, resulting in three field replicates for each of the waterbodies. We derived the coefficient of determination from the regressions as a measure of fit and also qualitatively compared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56"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a mean of 1.3 ug/L in Indian Lake to a mean of 32.2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Layout w:type="fixed"/>
      </w:tblPr>
      <w:tblGrid>
        <w:gridCol w:w="7920"/>
      </w:tblGrid>
      <w:tr>
        <w:tc>
          <w:tcPr/>
          <w:bookmarkStart w:id="34" w:name="fig-chlascatter"/>
          <w:p>
            <w:pPr>
              <w:pStyle w:val="Compact"/>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 measurements of chlorophyll by waterbody. Blue lines represent the best fit regression line. R</w:t>
            </w:r>
            <w:r>
              <w:rPr>
                <w:vertAlign w:val="superscript"/>
              </w:rPr>
              <w:t xml:space="preserve">2</w:t>
            </w:r>
            <w:r>
              <w:t xml:space="preserve"> </w:t>
            </w:r>
            <w:r>
              <w:t xml:space="preserve">on plot is the coefficient of determination for this line.</w:t>
            </w:r>
          </w:p>
          <w:bookmarkEnd w:id="3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tbl-chlsummary"/>
          <w:p>
            <w:pPr>
              <w:jc w:val="center"/>
            </w:pPr>
            <w:pPr>
              <w:jc w:val="start"/>
              <w:spacing w:before="200"/>
              <w:pStyle w:val="ImageCaption"/>
            </w:pPr>
            <w:r>
              <w:t xml:space="preserve">Table 1: Summary (mean and standard deviation) of extracted chlorophyll from Turner Trilogy for waterbodies sampled in Rhode Island.</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waterbody</w:t>
                  </w:r>
                </w:p>
              </w:tc>
              <w:tc>
                <w:tcPr/>
                <w:p>
                  <w:pPr>
                    <w:pStyle w:val="Compact"/>
                    <w:jc w:val="left"/>
                    <w:jc w:val="center"/>
                  </w:pPr>
                  <w:r>
                    <w:t xml:space="preserve">variable</w:t>
                  </w:r>
                </w:p>
              </w:tc>
              <w:tc>
                <w:tcPr/>
                <w:p>
                  <w:pPr>
                    <w:pStyle w:val="Compact"/>
                    <w:jc w:val="left"/>
                    <w:jc w:val="center"/>
                  </w:pPr>
                  <w:r>
                    <w:t xml:space="preserve">units</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jc w:val="left"/>
                    <w:jc w:val="center"/>
                  </w:pPr>
                  <w:r>
                    <w:t xml:space="preserve">barber</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4.5</w:t>
                  </w:r>
                </w:p>
              </w:tc>
              <w:tc>
                <w:tcPr/>
                <w:p>
                  <w:pPr>
                    <w:pStyle w:val="Compact"/>
                    <w:jc w:val="right"/>
                    <w:jc w:val="center"/>
                  </w:pPr>
                  <w:r>
                    <w:t xml:space="preserve">0.2</w:t>
                  </w:r>
                </w:p>
              </w:tc>
            </w:tr>
            <w:tr>
              <w:tc>
                <w:tcPr/>
                <w:p>
                  <w:pPr>
                    <w:pStyle w:val="Compact"/>
                    <w:jc w:val="left"/>
                    <w:jc w:val="center"/>
                  </w:pPr>
                  <w:r>
                    <w:t xml:space="preserve">curran</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19.6</w:t>
                  </w:r>
                </w:p>
              </w:tc>
              <w:tc>
                <w:tcPr/>
                <w:p>
                  <w:pPr>
                    <w:pStyle w:val="Compact"/>
                    <w:jc w:val="right"/>
                    <w:jc w:val="center"/>
                  </w:pPr>
                  <w:r>
                    <w:t xml:space="preserve">0.2</w:t>
                  </w:r>
                </w:p>
              </w:tc>
            </w:tr>
            <w:tr>
              <w:tc>
                <w:tcPr/>
                <w:p>
                  <w:pPr>
                    <w:pStyle w:val="Compact"/>
                    <w:jc w:val="left"/>
                    <w:jc w:val="center"/>
                  </w:pPr>
                  <w:r>
                    <w:t xml:space="preserve">indian</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1.3</w:t>
                  </w:r>
                </w:p>
              </w:tc>
              <w:tc>
                <w:tcPr/>
                <w:p>
                  <w:pPr>
                    <w:pStyle w:val="Compact"/>
                    <w:jc w:val="right"/>
                    <w:jc w:val="center"/>
                  </w:pPr>
                  <w:r>
                    <w:t xml:space="preserve">0.0</w:t>
                  </w:r>
                </w:p>
              </w:tc>
            </w:tr>
            <w:tr>
              <w:tc>
                <w:tcPr/>
                <w:p>
                  <w:pPr>
                    <w:pStyle w:val="Compact"/>
                    <w:jc w:val="left"/>
                    <w:jc w:val="center"/>
                  </w:pPr>
                  <w:r>
                    <w:t xml:space="preserve">mashapaug</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32.2</w:t>
                  </w:r>
                </w:p>
              </w:tc>
              <w:tc>
                <w:tcPr/>
                <w:p>
                  <w:pPr>
                    <w:pStyle w:val="Compact"/>
                    <w:jc w:val="right"/>
                    <w:jc w:val="center"/>
                  </w:pPr>
                  <w:r>
                    <w:t xml:space="preserve">3.6</w:t>
                  </w:r>
                </w:p>
              </w:tc>
            </w:tr>
            <w:tr>
              <w:tc>
                <w:tcPr/>
                <w:p>
                  <w:pPr>
                    <w:pStyle w:val="Compact"/>
                    <w:jc w:val="left"/>
                    <w:jc w:val="center"/>
                  </w:pPr>
                  <w:r>
                    <w:t xml:space="preserve">warwick</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20.0</w:t>
                  </w:r>
                </w:p>
              </w:tc>
              <w:tc>
                <w:tcPr/>
                <w:p>
                  <w:pPr>
                    <w:pStyle w:val="Compact"/>
                    <w:jc w:val="right"/>
                    <w:jc w:val="center"/>
                  </w:pPr>
                  <w:r>
                    <w:t xml:space="preserve">1.0</w:t>
                  </w:r>
                </w:p>
              </w:tc>
            </w:tr>
            <w:tr>
              <w:tc>
                <w:tcPr/>
                <w:p>
                  <w:pPr>
                    <w:pStyle w:val="Compact"/>
                    <w:jc w:val="left"/>
                    <w:jc w:val="center"/>
                  </w:pPr>
                  <w:r>
                    <w:t xml:space="preserve">yawgoo</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2.8</w:t>
                  </w:r>
                </w:p>
              </w:tc>
              <w:tc>
                <w:tcPr/>
                <w:p>
                  <w:pPr>
                    <w:pStyle w:val="Compact"/>
                    <w:jc w:val="right"/>
                    <w:jc w:val="center"/>
                  </w:pPr>
                  <w:r>
                    <w:t xml:space="preserve">0.2</w:t>
                  </w:r>
                </w:p>
              </w:tc>
            </w:tr>
          </w:tbl>
          <w:bookmarkEnd w:id="35"/>
          <w:p/>
        </w:tc>
      </w:tr>
    </w:tbl>
    <w:bookmarkEnd w:id="36"/>
    <w:bookmarkStart w:id="42" w:name="phycocyanin"/>
    <w:p>
      <w:pPr>
        <w:pStyle w:val="Heading2"/>
      </w:pPr>
      <w:r>
        <w:t xml:space="preserve">Phycocyanin</w:t>
      </w:r>
    </w:p>
    <w:p>
      <w:pPr>
        <w:pStyle w:val="FirstParagraph"/>
      </w:pPr>
      <w:r>
        <w:t xml:space="preserve">Extracted phycocyanin measurements ranged from a mean of 0.2 ug/L in Indian Lake and Barber Pond to 10.5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jc w:val="start"/>
        <w:tblLayout w:type="fixed"/>
      </w:tblPr>
      <w:tblGrid>
        <w:gridCol w:w="7920"/>
      </w:tblGrid>
      <w:tr>
        <w:tc>
          <w:tcPr/>
          <w:bookmarkStart w:id="40" w:name="fig-phycoscatter"/>
          <w:p>
            <w:pPr>
              <w:pStyle w:val="Compact"/>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fluorometer measurements of phycocyanin by Rhode Island waterbody. Blue lines represent the best fit regression line. R</w:t>
            </w:r>
            <w:r>
              <w:rPr>
                <w:vertAlign w:val="superscript"/>
              </w:rPr>
              <w:t xml:space="preserve">2</w:t>
            </w:r>
            <w:r>
              <w:t xml:space="preserve"> </w:t>
            </w:r>
            <w:r>
              <w:t xml:space="preserve">on plot is the coefficient of determination for this line.</w:t>
            </w:r>
          </w:p>
          <w:bookmarkEnd w:id="4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 w:name="tbl-phycosummary"/>
          <w:p>
            <w:pPr>
              <w:jc w:val="center"/>
            </w:pPr>
            <w:pPr>
              <w:jc w:val="start"/>
              <w:spacing w:before="200"/>
              <w:pStyle w:val="ImageCaption"/>
            </w:pPr>
            <w:r>
              <w:t xml:space="preserve">Table 2: Summary (mean and standard deviation) of extracted phycocyanin from Turner Trilogy for waterbodies sampled in Rhode Island.</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waterbody</w:t>
                  </w:r>
                </w:p>
              </w:tc>
              <w:tc>
                <w:tcPr/>
                <w:p>
                  <w:pPr>
                    <w:pStyle w:val="Compact"/>
                    <w:jc w:val="left"/>
                    <w:jc w:val="center"/>
                  </w:pPr>
                  <w:r>
                    <w:t xml:space="preserve">variable</w:t>
                  </w:r>
                </w:p>
              </w:tc>
              <w:tc>
                <w:tcPr/>
                <w:p>
                  <w:pPr>
                    <w:pStyle w:val="Compact"/>
                    <w:jc w:val="left"/>
                    <w:jc w:val="center"/>
                  </w:pPr>
                  <w:r>
                    <w:t xml:space="preserve">units</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jc w:val="left"/>
                    <w:jc w:val="center"/>
                  </w:pPr>
                  <w:r>
                    <w:t xml:space="preserve">barber</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0.2</w:t>
                  </w:r>
                </w:p>
              </w:tc>
              <w:tc>
                <w:tcPr/>
                <w:p>
                  <w:pPr>
                    <w:pStyle w:val="Compact"/>
                    <w:jc w:val="right"/>
                    <w:jc w:val="center"/>
                  </w:pPr>
                  <w:r>
                    <w:t xml:space="preserve">0.0</w:t>
                  </w:r>
                </w:p>
              </w:tc>
            </w:tr>
            <w:tr>
              <w:tc>
                <w:tcPr/>
                <w:p>
                  <w:pPr>
                    <w:pStyle w:val="Compact"/>
                    <w:jc w:val="left"/>
                    <w:jc w:val="center"/>
                  </w:pPr>
                  <w:r>
                    <w:t xml:space="preserve">curran</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1.5</w:t>
                  </w:r>
                </w:p>
              </w:tc>
              <w:tc>
                <w:tcPr/>
                <w:p>
                  <w:pPr>
                    <w:pStyle w:val="Compact"/>
                    <w:jc w:val="right"/>
                    <w:jc w:val="center"/>
                  </w:pPr>
                  <w:r>
                    <w:t xml:space="preserve">0.4</w:t>
                  </w:r>
                </w:p>
              </w:tc>
            </w:tr>
            <w:tr>
              <w:tc>
                <w:tcPr/>
                <w:p>
                  <w:pPr>
                    <w:pStyle w:val="Compact"/>
                    <w:jc w:val="left"/>
                    <w:jc w:val="center"/>
                  </w:pPr>
                  <w:r>
                    <w:t xml:space="preserve">indian</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0.2</w:t>
                  </w:r>
                </w:p>
              </w:tc>
              <w:tc>
                <w:tcPr/>
                <w:p>
                  <w:pPr>
                    <w:pStyle w:val="Compact"/>
                    <w:jc w:val="right"/>
                    <w:jc w:val="center"/>
                  </w:pPr>
                  <w:r>
                    <w:t xml:space="preserve">0.0</w:t>
                  </w:r>
                </w:p>
              </w:tc>
            </w:tr>
            <w:tr>
              <w:tc>
                <w:tcPr/>
                <w:p>
                  <w:pPr>
                    <w:pStyle w:val="Compact"/>
                    <w:jc w:val="left"/>
                    <w:jc w:val="center"/>
                  </w:pPr>
                  <w:r>
                    <w:t xml:space="preserve">mashapaug</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10.5</w:t>
                  </w:r>
                </w:p>
              </w:tc>
              <w:tc>
                <w:tcPr/>
                <w:p>
                  <w:pPr>
                    <w:pStyle w:val="Compact"/>
                    <w:jc w:val="right"/>
                    <w:jc w:val="center"/>
                  </w:pPr>
                  <w:r>
                    <w:t xml:space="preserve">2.6</w:t>
                  </w:r>
                </w:p>
              </w:tc>
            </w:tr>
            <w:tr>
              <w:tc>
                <w:tcPr/>
                <w:p>
                  <w:pPr>
                    <w:pStyle w:val="Compact"/>
                    <w:jc w:val="left"/>
                    <w:jc w:val="center"/>
                  </w:pPr>
                  <w:r>
                    <w:t xml:space="preserve">warwick</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2.4</w:t>
                  </w:r>
                </w:p>
              </w:tc>
              <w:tc>
                <w:tcPr/>
                <w:p>
                  <w:pPr>
                    <w:pStyle w:val="Compact"/>
                    <w:jc w:val="right"/>
                    <w:jc w:val="center"/>
                  </w:pPr>
                  <w:r>
                    <w:t xml:space="preserve">0.5</w:t>
                  </w:r>
                </w:p>
              </w:tc>
            </w:tr>
            <w:tr>
              <w:tc>
                <w:tcPr/>
                <w:p>
                  <w:pPr>
                    <w:pStyle w:val="Compact"/>
                    <w:jc w:val="left"/>
                    <w:jc w:val="center"/>
                  </w:pPr>
                  <w:r>
                    <w:t xml:space="preserve">yawgoo</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1.0</w:t>
                  </w:r>
                </w:p>
              </w:tc>
              <w:tc>
                <w:tcPr/>
                <w:p>
                  <w:pPr>
                    <w:pStyle w:val="Compact"/>
                    <w:jc w:val="right"/>
                    <w:jc w:val="center"/>
                  </w:pPr>
                  <w:r>
                    <w:t xml:space="preserve">0.1</w:t>
                  </w:r>
                </w:p>
              </w:tc>
            </w:tr>
          </w:tbl>
          <w:bookmarkEnd w:id="41"/>
          <w:p/>
        </w:tc>
      </w:tr>
    </w:tbl>
    <w:bookmarkEnd w:id="42"/>
    <w:bookmarkStart w:id="55" w:name="phytoplankton-counts-1"/>
    <w:p>
      <w:pPr>
        <w:pStyle w:val="Heading2"/>
      </w:pPr>
      <w:r>
        <w:t xml:space="preserve">Phytoplankton Counts</w:t>
      </w:r>
    </w:p>
    <w:p>
      <w:pPr>
        <w:pStyle w:val="FirstParagraph"/>
      </w:pPr>
      <w:r>
        <w:t xml:space="preserve">Cyanophytes were the dominant taxa at all waterbodies with the highest concentrations observed at Curran (38,019 natural units/mL), Mashapaug (89,806 natural units/mL), and Warwick (45,847 natural units/mL)(</w:t>
      </w:r>
      <w:hyperlink w:anchor="fig-cellsml">
        <w:r>
          <w:rPr>
            <w:rStyle w:val="Hyperlink"/>
          </w:rPr>
          <w:t xml:space="preserve">Figure 4</w:t>
        </w:r>
      </w:hyperlink>
      <w:r>
        <w:t xml:space="preserve">).  Total concentrations were highest at Mashapaug (92,527 natural units/mL), Warwick (70,728 natural units/mL), and Curran (40,428 natural units/mL).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cellsml"/>
          <w:p>
            <w:pPr>
              <w:pStyle w:val="Compact"/>
              <w:jc w:val="center"/>
            </w:pPr>
            <w:r>
              <w:drawing>
                <wp:inline>
                  <wp:extent cx="5943600" cy="3671047"/>
                  <wp:effectExtent b="0" l="0" r="0" t="0"/>
                  <wp:docPr descr="" title="" id="44" name="Picture"/>
                  <a:graphic>
                    <a:graphicData uri="http://schemas.openxmlformats.org/drawingml/2006/picture">
                      <pic:pic>
                        <pic:nvPicPr>
                          <pic:cNvPr descr="images/fig4_total_cellsml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Cell counts (cells/mL) of phytoplankton samples from six waterbodies in Rhode Island</w:t>
            </w:r>
          </w:p>
          <w:bookmarkEnd w:id="46"/>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5</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0" w:name="fig-chlcount"/>
          <w:p>
            <w:pPr>
              <w:pStyle w:val="Compact"/>
              <w:jc w:val="center"/>
            </w:pPr>
            <w:r>
              <w:drawing>
                <wp:inline>
                  <wp:extent cx="5943600" cy="3671047"/>
                  <wp:effectExtent b="0" l="0" r="0" t="0"/>
                  <wp:docPr descr="" title="" id="48" name="Picture"/>
                  <a:graphic>
                    <a:graphicData uri="http://schemas.openxmlformats.org/drawingml/2006/picture">
                      <pic:pic>
                        <pic:nvPicPr>
                          <pic:cNvPr descr="images/fig5_chl_vs_cells.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fluorometer chlorophyll to cyanobacteria cell counts. Blue lines represent the best fit regression line. R</w:t>
            </w:r>
            <w:r>
              <w:rPr>
                <w:vertAlign w:val="superscript"/>
              </w:rPr>
              <w:t xml:space="preserve">2</w:t>
            </w:r>
            <w:r>
              <w:t xml:space="preserve"> </w:t>
            </w:r>
            <w:r>
              <w:t xml:space="preserve">on plot is the coefficient of determination for this line.</w:t>
            </w:r>
          </w:p>
          <w:bookmarkEnd w:id="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 w:name="fig-phycocount"/>
          <w:p>
            <w:pPr>
              <w:pStyle w:val="Compact"/>
              <w:jc w:val="center"/>
            </w:pPr>
            <w:r>
              <w:drawing>
                <wp:inline>
                  <wp:extent cx="5943600" cy="3671047"/>
                  <wp:effectExtent b="0" l="0" r="0" t="0"/>
                  <wp:docPr descr="" title="" id="52" name="Picture"/>
                  <a:graphic>
                    <a:graphicData uri="http://schemas.openxmlformats.org/drawingml/2006/picture">
                      <pic:pic>
                        <pic:nvPicPr>
                          <pic:cNvPr descr="images/fig6_phyco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 of fluorometer phycocyanin to cyanobacteria cell counts. Blue lines represent the best fit regression line. R</w:t>
            </w:r>
            <w:r>
              <w:rPr>
                <w:vertAlign w:val="superscript"/>
              </w:rPr>
              <w:t xml:space="preserve">2</w:t>
            </w:r>
            <w:r>
              <w:t xml:space="preserve"> </w:t>
            </w:r>
            <w:r>
              <w:t xml:space="preserve">on plot is the coefficient of determination for this line.</w:t>
            </w:r>
          </w:p>
          <w:bookmarkEnd w:id="54"/>
        </w:tc>
      </w:tr>
    </w:tbl>
    <w:bookmarkEnd w:id="55"/>
    <w:bookmarkEnd w:id="56"/>
    <w:bookmarkStart w:id="57" w:name="discussion"/>
    <w:p>
      <w:pPr>
        <w:pStyle w:val="Heading1"/>
      </w:pPr>
      <w:r>
        <w:t xml:space="preserve">Discussion</w:t>
      </w:r>
    </w:p>
    <w:p>
      <w:pPr>
        <w:pStyle w:val="FirstParagraph"/>
      </w:pPr>
      <w:r>
        <w:t xml:space="preserve">The results from this study indicate that in vivo phycocyanin is better related to extracted phycocyanin when compared to the same measurements for chlorophyll. Similarly, phycocyanin from all instruments was better correlated to cell counts than correlations between chlorophyll measurements from instruments and cell counts. Instruments measuring in-vivo phycocyanin were better able to handle the cyanobacteria-dominated phytoplankton communities in these study ponds that cause in-vivo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between the waterbodies; however, the Fluorosense overestimated the actual concentrations as compared to extracted values (0-35 ug/L vs 0-12.5 ug/L). Hambdhani et al. (2021) also found that the Fluorosense performed well but overestimated chlorophyll</w:t>
      </w:r>
      <w:r>
        <w:t xml:space="preserve"> </w:t>
      </w:r>
      <w:r>
        <w:rPr>
          <w:iCs/>
          <w:i/>
        </w:rPr>
        <w:t xml:space="preserve">a</w:t>
      </w:r>
      <w:r>
        <w:t xml:space="preserve"> </w:t>
      </w:r>
      <w:r>
        <w:t xml:space="preserve">at higher algal concentrations.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compared to extracted concentrations; however, the output from these instruments is not a direct measure of phycocyanin. Instead, these instruments measure the percentage of the chlorophyll that is derived from cyanobacteria, which makes a comparision with other instruments that directly measure phycocyanin difficult. The Cyanofluor output was in RFUs and was not directly comparable to extracted phycocyanin without creating a standard curve for the instrument using known phycocyanin standard concentrations, which was beyond the scope of this study. A study by Thomson-Laing et al. (2020) did convert RFUs to ug/L and found strong correlation between cyanobacteria biovolume and phycocyanin concentration for eleven cyanobacteria cultures.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cell counts of cyanobacteria were the highest in Mashapaug and it is likely that these high concentrations were causing underestimation of the in vivo concentrations of chlorophyll (</w:t>
      </w:r>
      <w:r>
        <w:t xml:space="preserve">Zamyadi et al. (2012)</w:t>
      </w:r>
      <w:r>
        <w:t xml:space="preserve">). Therefore, the Algaetorch and Phycoprobe are more successful in properly estimating chlorophyll across a range of different waterbodies, but they are also the most expensive instruments. A study by Silva et al. (2016)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w:t>
      </w:r>
    </w:p>
    <w:p>
      <w:pPr>
        <w:pStyle w:val="BodyText"/>
      </w:pPr>
      <w:r>
        <w:t xml:space="preserve">This study supports the use of extracted chlorophyll and phycocyanin as an alternative to cell counts for the study of cyanoHABS. In lieu of extractive techniques, in vivo chlorophyll</w:t>
      </w:r>
      <w:r>
        <w:t xml:space="preserve"> </w:t>
      </w:r>
      <w:r>
        <w:rPr>
          <w:iCs/>
          <w:i/>
        </w:rPr>
        <w:t xml:space="preserve">a</w:t>
      </w:r>
      <w:r>
        <w:t xml:space="preserve"> </w:t>
      </w:r>
      <w:r>
        <w:t xml:space="preserve">is typically used for routine monitoring of cyanoHABs, but this study found in vivo phycocyanin to be better correlated with extracted phycocyanin than correlations between in vivo and extracted chlorophyll a across a variety of instruments. Therefore, measuring in vivo phycocyanin may be a good proxy for cell counts. There are a variety of instruments capable of measuring phycocyanin using in vivo fluorometry across a spectrum of prices. We hope this study will encourage further research and consideration of using in vivo phycocyanin as alternative to cell counts and in situations were extractive techniques are not able to be used.</w:t>
      </w:r>
    </w:p>
    <w:bookmarkEnd w:id="57"/>
    <w:bookmarkStart w:id="58" w:name="acknowledgements"/>
    <w:p>
      <w:pPr>
        <w:pStyle w:val="Heading1"/>
      </w:pPr>
      <w:r>
        <w:t xml:space="preserve">Acknowledgements</w:t>
      </w:r>
    </w:p>
    <w:p>
      <w:pPr>
        <w:pStyle w:val="FirstParagraph"/>
      </w:pPr>
      <w:r>
        <w:t xml:space="preserve">We are grateful to Hilary Snook, Darryl Keith, Steve Rego, Kara Godineaux, Marty Chintala,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58"/>
    <w:bookmarkStart w:id="60" w:name="supplement"/>
    <w:p>
      <w:pPr>
        <w:pStyle w:val="Heading1"/>
      </w:pPr>
      <w:r>
        <w:t xml:space="preserve">Supplement</w:t>
      </w:r>
    </w:p>
    <w:tbl>
      <w:tblPr>
        <w:tblStyle w:val="Table"/>
        <w:tblW w:type="pct" w:w="5000"/>
        <w:tblLook w:firstRow="0" w:lastRow="0" w:firstColumn="0" w:lastColumn="0" w:noHBand="0" w:noVBand="0" w:val="0000"/>
        <w:jc w:val="start"/>
        <w:tblLayout w:type="fixed"/>
      </w:tblPr>
      <w:tblGrid>
        <w:gridCol w:w="7920"/>
      </w:tblGrid>
      <w:tr>
        <w:tc>
          <w:tcPr/>
          <w:bookmarkStart w:id="59" w:name="tbl-supp"/>
          <w:p>
            <w:pPr>
              <w:jc w:val="center"/>
            </w:pPr>
            <w:pPr>
              <w:jc w:val="start"/>
              <w:spacing w:before="200"/>
              <w:pStyle w:val="ImageCaption"/>
            </w:pPr>
            <w:r>
              <w:t xml:space="preserve">Table 3: Cyanobacteria community composition by genus and waterbody, including total biovolume and relative biovolume.</w:t>
            </w:r>
          </w:p>
          <w:tbl>
            <w:tblPr>
              <w:tblStyle w:val="Table"/>
              <w:tblW w:type="pct" w:w="5000"/>
              <w:tblLook w:firstRow="1" w:lastRow="0" w:firstColumn="0" w:lastColumn="0" w:noHBand="0" w:noVBand="0" w:val="0020"/>
              <w:jc w:val="start"/>
              <w:tblLayout w:type="fixed"/>
            </w:tblPr>
            <w:tblGrid>
              <w:gridCol w:w="2200"/>
              <w:gridCol w:w="2530"/>
              <w:gridCol w:w="1100"/>
              <w:gridCol w:w="2090"/>
            </w:tblGrid>
            <w:tr>
              <w:trPr>
                <w:tblHeader w:val="true"/>
              </w:trPr>
              <w:tc>
                <w:tcPr/>
                <w:p>
                  <w:pPr>
                    <w:pStyle w:val="Compact"/>
                    <w:jc w:val="left"/>
                    <w:jc w:val="center"/>
                  </w:pPr>
                  <w:r>
                    <w:t xml:space="preserve">waterbody</w:t>
                  </w:r>
                </w:p>
              </w:tc>
              <w:tc>
                <w:tcPr/>
                <w:p>
                  <w:pPr>
                    <w:pStyle w:val="Compact"/>
                    <w:jc w:val="left"/>
                    <w:jc w:val="center"/>
                  </w:pPr>
                  <w:r>
                    <w:t xml:space="preserve">genus</w:t>
                  </w:r>
                </w:p>
              </w:tc>
              <w:tc>
                <w:tcPr/>
                <w:p>
                  <w:pPr>
                    <w:pStyle w:val="Compact"/>
                    <w:jc w:val="right"/>
                    <w:jc w:val="center"/>
                  </w:pPr>
                  <w:r>
                    <w:t xml:space="preserve">biovolume</w:t>
                  </w:r>
                </w:p>
              </w:tc>
              <w:tc>
                <w:tcPr/>
                <w:p>
                  <w:pPr>
                    <w:pStyle w:val="Compact"/>
                    <w:jc w:val="right"/>
                    <w:jc w:val="center"/>
                  </w:pPr>
                  <w:r>
                    <w:t xml:space="preserve">relative_biovolume</w:t>
                  </w:r>
                </w:p>
              </w:tc>
            </w:tr>
            <w:tr>
              <w:tc>
                <w:tcPr/>
                <w:p>
                  <w:pPr>
                    <w:pStyle w:val="Compact"/>
                    <w:jc w:val="left"/>
                    <w:jc w:val="center"/>
                  </w:pPr>
                  <w:r>
                    <w:t xml:space="preserve">Barber Pond</w:t>
                  </w:r>
                </w:p>
              </w:tc>
              <w:tc>
                <w:tcPr/>
                <w:p>
                  <w:pPr>
                    <w:pStyle w:val="Compact"/>
                    <w:jc w:val="left"/>
                    <w:jc w:val="center"/>
                  </w:pPr>
                  <w:r>
                    <w:t xml:space="preserve">Aphanocapsa</w:t>
                  </w:r>
                </w:p>
              </w:tc>
              <w:tc>
                <w:tcPr/>
                <w:p>
                  <w:pPr>
                    <w:pStyle w:val="Compact"/>
                    <w:jc w:val="right"/>
                    <w:jc w:val="center"/>
                  </w:pPr>
                  <w:r>
                    <w:t xml:space="preserve">3800.0</w:t>
                  </w:r>
                </w:p>
              </w:tc>
              <w:tc>
                <w:tcPr/>
                <w:p>
                  <w:pPr>
                    <w:pStyle w:val="Compact"/>
                    <w:jc w:val="right"/>
                    <w:jc w:val="center"/>
                  </w:pPr>
                  <w:r>
                    <w:t xml:space="preserve">0.01524</w:t>
                  </w:r>
                </w:p>
              </w:tc>
            </w:tr>
            <w:tr>
              <w:tc>
                <w:tcPr/>
                <w:p>
                  <w:pPr>
                    <w:pStyle w:val="Compact"/>
                    <w:jc w:val="left"/>
                    <w:jc w:val="center"/>
                  </w:pPr>
                  <w:r>
                    <w:t xml:space="preserve">Barber Pond</w:t>
                  </w:r>
                </w:p>
              </w:tc>
              <w:tc>
                <w:tcPr/>
                <w:p>
                  <w:pPr>
                    <w:pStyle w:val="Compact"/>
                    <w:jc w:val="left"/>
                    <w:jc w:val="center"/>
                  </w:pPr>
                  <w:r>
                    <w:t xml:space="preserve">Unknwon Chroococcaceae</w:t>
                  </w:r>
                </w:p>
              </w:tc>
              <w:tc>
                <w:tcPr/>
                <w:p>
                  <w:pPr>
                    <w:pStyle w:val="Compact"/>
                    <w:jc w:val="right"/>
                    <w:jc w:val="center"/>
                  </w:pPr>
                  <w:r>
                    <w:t xml:space="preserve">3721.0</w:t>
                  </w:r>
                </w:p>
              </w:tc>
              <w:tc>
                <w:tcPr/>
                <w:p>
                  <w:pPr>
                    <w:pStyle w:val="Compact"/>
                    <w:jc w:val="right"/>
                    <w:jc w:val="center"/>
                  </w:pPr>
                  <w:r>
                    <w:t xml:space="preserve">0.01492</w:t>
                  </w:r>
                </w:p>
              </w:tc>
            </w:tr>
            <w:tr>
              <w:tc>
                <w:tcPr/>
                <w:p>
                  <w:pPr>
                    <w:pStyle w:val="Compact"/>
                    <w:jc w:val="left"/>
                    <w:jc w:val="center"/>
                  </w:pPr>
                  <w:r>
                    <w:t xml:space="preserve">Barber Pond</w:t>
                  </w:r>
                </w:p>
              </w:tc>
              <w:tc>
                <w:tcPr/>
                <w:p>
                  <w:pPr>
                    <w:pStyle w:val="Compact"/>
                    <w:jc w:val="left"/>
                    <w:jc w:val="center"/>
                  </w:pPr>
                  <w:r>
                    <w:t xml:space="preserve">Synechococcus</w:t>
                  </w:r>
                </w:p>
              </w:tc>
              <w:tc>
                <w:tcPr/>
                <w:p>
                  <w:pPr>
                    <w:pStyle w:val="Compact"/>
                    <w:jc w:val="right"/>
                    <w:jc w:val="center"/>
                  </w:pPr>
                  <w:r>
                    <w:t xml:space="preserve">2037.6</w:t>
                  </w:r>
                </w:p>
              </w:tc>
              <w:tc>
                <w:tcPr/>
                <w:p>
                  <w:pPr>
                    <w:pStyle w:val="Compact"/>
                    <w:jc w:val="right"/>
                    <w:jc w:val="center"/>
                  </w:pPr>
                  <w:r>
                    <w:t xml:space="preserve">0.00817</w:t>
                  </w:r>
                </w:p>
              </w:tc>
            </w:tr>
            <w:tr>
              <w:tc>
                <w:tcPr/>
                <w:p>
                  <w:pPr>
                    <w:pStyle w:val="Compact"/>
                    <w:jc w:val="left"/>
                    <w:jc w:val="center"/>
                  </w:pPr>
                  <w:r>
                    <w:t xml:space="preserve">Barber Pond</w:t>
                  </w:r>
                </w:p>
              </w:tc>
              <w:tc>
                <w:tcPr/>
                <w:p>
                  <w:pPr>
                    <w:pStyle w:val="Compact"/>
                    <w:jc w:val="left"/>
                    <w:jc w:val="center"/>
                  </w:pPr>
                  <w:r>
                    <w:t xml:space="preserve">Planktothrix</w:t>
                  </w:r>
                </w:p>
              </w:tc>
              <w:tc>
                <w:tcPr/>
                <w:p>
                  <w:pPr>
                    <w:pStyle w:val="Compact"/>
                    <w:jc w:val="right"/>
                    <w:jc w:val="center"/>
                  </w:pPr>
                  <w:r>
                    <w:t xml:space="preserve">1396.9</w:t>
                  </w:r>
                </w:p>
              </w:tc>
              <w:tc>
                <w:tcPr/>
                <w:p>
                  <w:pPr>
                    <w:pStyle w:val="Compact"/>
                    <w:jc w:val="right"/>
                    <w:jc w:val="center"/>
                  </w:pPr>
                  <w:r>
                    <w:t xml:space="preserve">0.00560</w:t>
                  </w:r>
                </w:p>
              </w:tc>
            </w:tr>
            <w:tr>
              <w:tc>
                <w:tcPr/>
                <w:p>
                  <w:pPr>
                    <w:pStyle w:val="Compact"/>
                    <w:jc w:val="left"/>
                    <w:jc w:val="center"/>
                  </w:pPr>
                  <w:r>
                    <w:t xml:space="preserve">Barber Pond</w:t>
                  </w:r>
                </w:p>
              </w:tc>
              <w:tc>
                <w:tcPr/>
                <w:p>
                  <w:pPr>
                    <w:pStyle w:val="Compact"/>
                    <w:jc w:val="left"/>
                    <w:jc w:val="center"/>
                  </w:pPr>
                  <w:r>
                    <w:t xml:space="preserve">Woronichinia</w:t>
                  </w:r>
                </w:p>
              </w:tc>
              <w:tc>
                <w:tcPr/>
                <w:p>
                  <w:pPr>
                    <w:pStyle w:val="Compact"/>
                    <w:jc w:val="right"/>
                    <w:jc w:val="center"/>
                  </w:pPr>
                  <w:r>
                    <w:t xml:space="preserve">801.5</w:t>
                  </w:r>
                </w:p>
              </w:tc>
              <w:tc>
                <w:tcPr/>
                <w:p>
                  <w:pPr>
                    <w:pStyle w:val="Compact"/>
                    <w:jc w:val="right"/>
                    <w:jc w:val="center"/>
                  </w:pPr>
                  <w:r>
                    <w:t xml:space="preserve">0.00321</w:t>
                  </w:r>
                </w:p>
              </w:tc>
            </w:tr>
            <w:tr>
              <w:tc>
                <w:tcPr/>
                <w:p>
                  <w:pPr>
                    <w:pStyle w:val="Compact"/>
                    <w:jc w:val="left"/>
                    <w:jc w:val="center"/>
                  </w:pPr>
                  <w:r>
                    <w:t xml:space="preserve">Barber Pond</w:t>
                  </w:r>
                </w:p>
              </w:tc>
              <w:tc>
                <w:tcPr/>
                <w:p>
                  <w:pPr>
                    <w:pStyle w:val="Compact"/>
                    <w:jc w:val="left"/>
                    <w:jc w:val="center"/>
                  </w:pPr>
                  <w:r>
                    <w:t xml:space="preserve">Gomphosphaeria</w:t>
                  </w:r>
                </w:p>
              </w:tc>
              <w:tc>
                <w:tcPr/>
                <w:p>
                  <w:pPr>
                    <w:pStyle w:val="Compact"/>
                    <w:jc w:val="right"/>
                    <w:jc w:val="center"/>
                  </w:pPr>
                  <w:r>
                    <w:t xml:space="preserve">612.0</w:t>
                  </w:r>
                </w:p>
              </w:tc>
              <w:tc>
                <w:tcPr/>
                <w:p>
                  <w:pPr>
                    <w:pStyle w:val="Compact"/>
                    <w:jc w:val="right"/>
                    <w:jc w:val="center"/>
                  </w:pPr>
                  <w:r>
                    <w:t xml:space="preserve">0.00245</w:t>
                  </w:r>
                </w:p>
              </w:tc>
            </w:tr>
            <w:tr>
              <w:tc>
                <w:tcPr/>
                <w:p>
                  <w:pPr>
                    <w:pStyle w:val="Compact"/>
                    <w:jc w:val="left"/>
                    <w:jc w:val="center"/>
                  </w:pPr>
                  <w:r>
                    <w:t xml:space="preserve">Barber Pond</w:t>
                  </w:r>
                </w:p>
              </w:tc>
              <w:tc>
                <w:tcPr/>
                <w:p>
                  <w:pPr>
                    <w:pStyle w:val="Compact"/>
                    <w:jc w:val="left"/>
                    <w:jc w:val="center"/>
                  </w:pPr>
                  <w:r>
                    <w:t xml:space="preserve">Synechocystis</w:t>
                  </w:r>
                </w:p>
              </w:tc>
              <w:tc>
                <w:tcPr/>
                <w:p>
                  <w:pPr>
                    <w:pStyle w:val="Compact"/>
                    <w:jc w:val="right"/>
                    <w:jc w:val="center"/>
                  </w:pPr>
                  <w:r>
                    <w:t xml:space="preserve">357.8</w:t>
                  </w:r>
                </w:p>
              </w:tc>
              <w:tc>
                <w:tcPr/>
                <w:p>
                  <w:pPr>
                    <w:pStyle w:val="Compact"/>
                    <w:jc w:val="right"/>
                    <w:jc w:val="center"/>
                  </w:pPr>
                  <w:r>
                    <w:t xml:space="preserve">0.00143</w:t>
                  </w:r>
                </w:p>
              </w:tc>
            </w:tr>
            <w:tr>
              <w:tc>
                <w:tcPr/>
                <w:p>
                  <w:pPr>
                    <w:pStyle w:val="Compact"/>
                    <w:jc w:val="left"/>
                    <w:jc w:val="center"/>
                  </w:pPr>
                  <w:r>
                    <w:t xml:space="preserve">Barber Pond</w:t>
                  </w:r>
                </w:p>
              </w:tc>
              <w:tc>
                <w:tcPr/>
                <w:p>
                  <w:pPr>
                    <w:pStyle w:val="Compact"/>
                    <w:jc w:val="left"/>
                    <w:jc w:val="center"/>
                  </w:pPr>
                  <w:r>
                    <w:t xml:space="preserve">Aphanothece</w:t>
                  </w:r>
                </w:p>
              </w:tc>
              <w:tc>
                <w:tcPr/>
                <w:p>
                  <w:pPr>
                    <w:pStyle w:val="Compact"/>
                    <w:jc w:val="right"/>
                    <w:jc w:val="center"/>
                  </w:pPr>
                  <w:r>
                    <w:t xml:space="preserve">285.0</w:t>
                  </w:r>
                </w:p>
              </w:tc>
              <w:tc>
                <w:tcPr/>
                <w:p>
                  <w:pPr>
                    <w:pStyle w:val="Compact"/>
                    <w:jc w:val="right"/>
                    <w:jc w:val="center"/>
                  </w:pPr>
                  <w:r>
                    <w:t xml:space="preserve">0.00114</w:t>
                  </w:r>
                </w:p>
              </w:tc>
            </w:tr>
            <w:tr>
              <w:tc>
                <w:tcPr/>
                <w:p>
                  <w:pPr>
                    <w:pStyle w:val="Compact"/>
                    <w:jc w:val="left"/>
                    <w:jc w:val="center"/>
                  </w:pPr>
                  <w:r>
                    <w:t xml:space="preserve">Barber Pond</w:t>
                  </w:r>
                </w:p>
              </w:tc>
              <w:tc>
                <w:tcPr/>
                <w:p>
                  <w:pPr>
                    <w:pStyle w:val="Compact"/>
                    <w:jc w:val="left"/>
                    <w:jc w:val="center"/>
                  </w:pPr>
                  <w:r>
                    <w:t xml:space="preserve">Cyanogranis</w:t>
                  </w:r>
                </w:p>
              </w:tc>
              <w:tc>
                <w:tcPr/>
                <w:p>
                  <w:pPr>
                    <w:pStyle w:val="Compact"/>
                    <w:jc w:val="right"/>
                    <w:jc w:val="center"/>
                  </w:pPr>
                  <w:r>
                    <w:t xml:space="preserve">257.2</w:t>
                  </w:r>
                </w:p>
              </w:tc>
              <w:tc>
                <w:tcPr/>
                <w:p>
                  <w:pPr>
                    <w:pStyle w:val="Compact"/>
                    <w:jc w:val="right"/>
                    <w:jc w:val="center"/>
                  </w:pPr>
                  <w:r>
                    <w:t xml:space="preserve">0.00103</w:t>
                  </w:r>
                </w:p>
              </w:tc>
            </w:tr>
            <w:tr>
              <w:tc>
                <w:tcPr/>
                <w:p>
                  <w:pPr>
                    <w:pStyle w:val="Compact"/>
                    <w:jc w:val="left"/>
                    <w:jc w:val="center"/>
                  </w:pPr>
                  <w:r>
                    <w:t xml:space="preserve">Barber Pond</w:t>
                  </w:r>
                </w:p>
              </w:tc>
              <w:tc>
                <w:tcPr/>
                <w:p>
                  <w:pPr>
                    <w:pStyle w:val="Compact"/>
                    <w:jc w:val="left"/>
                    <w:jc w:val="center"/>
                  </w:pPr>
                  <w:r>
                    <w:t xml:space="preserve">Dolichospermum</w:t>
                  </w:r>
                </w:p>
              </w:tc>
              <w:tc>
                <w:tcPr/>
                <w:p>
                  <w:pPr>
                    <w:pStyle w:val="Compact"/>
                    <w:jc w:val="right"/>
                    <w:jc w:val="center"/>
                  </w:pPr>
                  <w:r>
                    <w:t xml:space="preserve">154.2</w:t>
                  </w:r>
                </w:p>
              </w:tc>
              <w:tc>
                <w:tcPr/>
                <w:p>
                  <w:pPr>
                    <w:pStyle w:val="Compact"/>
                    <w:jc w:val="right"/>
                    <w:jc w:val="center"/>
                  </w:pPr>
                  <w:r>
                    <w:t xml:space="preserve">0.00062</w:t>
                  </w:r>
                </w:p>
              </w:tc>
            </w:tr>
            <w:tr>
              <w:tc>
                <w:tcPr/>
                <w:p>
                  <w:pPr>
                    <w:pStyle w:val="Compact"/>
                    <w:jc w:val="left"/>
                    <w:jc w:val="center"/>
                  </w:pPr>
                  <w:r>
                    <w:t xml:space="preserve">Indian Lake</w:t>
                  </w:r>
                </w:p>
              </w:tc>
              <w:tc>
                <w:tcPr/>
                <w:p>
                  <w:pPr>
                    <w:pStyle w:val="Compact"/>
                    <w:jc w:val="left"/>
                    <w:jc w:val="center"/>
                  </w:pPr>
                  <w:r>
                    <w:t xml:space="preserve">Unknwon Chroococcaceae</w:t>
                  </w:r>
                </w:p>
              </w:tc>
              <w:tc>
                <w:tcPr/>
                <w:p>
                  <w:pPr>
                    <w:pStyle w:val="Compact"/>
                    <w:jc w:val="right"/>
                    <w:jc w:val="center"/>
                  </w:pPr>
                  <w:r>
                    <w:t xml:space="preserve">6963.4</w:t>
                  </w:r>
                </w:p>
              </w:tc>
              <w:tc>
                <w:tcPr/>
                <w:p>
                  <w:pPr>
                    <w:pStyle w:val="Compact"/>
                    <w:jc w:val="right"/>
                    <w:jc w:val="center"/>
                  </w:pPr>
                  <w:r>
                    <w:t xml:space="preserve">0.13789</w:t>
                  </w:r>
                </w:p>
              </w:tc>
            </w:tr>
            <w:tr>
              <w:tc>
                <w:tcPr/>
                <w:p>
                  <w:pPr>
                    <w:pStyle w:val="Compact"/>
                    <w:jc w:val="left"/>
                    <w:jc w:val="center"/>
                  </w:pPr>
                  <w:r>
                    <w:t xml:space="preserve">Indian Lake</w:t>
                  </w:r>
                </w:p>
              </w:tc>
              <w:tc>
                <w:tcPr/>
                <w:p>
                  <w:pPr>
                    <w:pStyle w:val="Compact"/>
                    <w:jc w:val="left"/>
                    <w:jc w:val="center"/>
                  </w:pPr>
                  <w:r>
                    <w:t xml:space="preserve">Synechococcus</w:t>
                  </w:r>
                </w:p>
              </w:tc>
              <w:tc>
                <w:tcPr/>
                <w:p>
                  <w:pPr>
                    <w:pStyle w:val="Compact"/>
                    <w:jc w:val="right"/>
                    <w:jc w:val="center"/>
                  </w:pPr>
                  <w:r>
                    <w:t xml:space="preserve">1641.4</w:t>
                  </w:r>
                </w:p>
              </w:tc>
              <w:tc>
                <w:tcPr/>
                <w:p>
                  <w:pPr>
                    <w:pStyle w:val="Compact"/>
                    <w:jc w:val="right"/>
                    <w:jc w:val="center"/>
                  </w:pPr>
                  <w:r>
                    <w:t xml:space="preserve">0.03250</w:t>
                  </w:r>
                </w:p>
              </w:tc>
            </w:tr>
            <w:tr>
              <w:tc>
                <w:tcPr/>
                <w:p>
                  <w:pPr>
                    <w:pStyle w:val="Compact"/>
                    <w:jc w:val="left"/>
                    <w:jc w:val="center"/>
                  </w:pPr>
                  <w:r>
                    <w:t xml:space="preserve">Indian Lake</w:t>
                  </w:r>
                </w:p>
              </w:tc>
              <w:tc>
                <w:tcPr/>
                <w:p>
                  <w:pPr>
                    <w:pStyle w:val="Compact"/>
                    <w:jc w:val="left"/>
                    <w:jc w:val="center"/>
                  </w:pPr>
                  <w:r>
                    <w:t xml:space="preserve">Dolichospermum</w:t>
                  </w:r>
                </w:p>
              </w:tc>
              <w:tc>
                <w:tcPr/>
                <w:p>
                  <w:pPr>
                    <w:pStyle w:val="Compact"/>
                    <w:jc w:val="right"/>
                    <w:jc w:val="center"/>
                  </w:pPr>
                  <w:r>
                    <w:t xml:space="preserve">851.4</w:t>
                  </w:r>
                </w:p>
              </w:tc>
              <w:tc>
                <w:tcPr/>
                <w:p>
                  <w:pPr>
                    <w:pStyle w:val="Compact"/>
                    <w:jc w:val="right"/>
                    <w:jc w:val="center"/>
                  </w:pPr>
                  <w:r>
                    <w:t xml:space="preserve">0.01686</w:t>
                  </w:r>
                </w:p>
              </w:tc>
            </w:tr>
            <w:tr>
              <w:tc>
                <w:tcPr/>
                <w:p>
                  <w:pPr>
                    <w:pStyle w:val="Compact"/>
                    <w:jc w:val="left"/>
                    <w:jc w:val="center"/>
                  </w:pPr>
                  <w:r>
                    <w:t xml:space="preserve">Indian Lake</w:t>
                  </w:r>
                </w:p>
              </w:tc>
              <w:tc>
                <w:tcPr/>
                <w:p>
                  <w:pPr>
                    <w:pStyle w:val="Compact"/>
                    <w:jc w:val="left"/>
                    <w:jc w:val="center"/>
                  </w:pPr>
                  <w:r>
                    <w:t xml:space="preserve">Woronichinia</w:t>
                  </w:r>
                </w:p>
              </w:tc>
              <w:tc>
                <w:tcPr/>
                <w:p>
                  <w:pPr>
                    <w:pStyle w:val="Compact"/>
                    <w:jc w:val="right"/>
                    <w:jc w:val="center"/>
                  </w:pPr>
                  <w:r>
                    <w:t xml:space="preserve">801.5</w:t>
                  </w:r>
                </w:p>
              </w:tc>
              <w:tc>
                <w:tcPr/>
                <w:p>
                  <w:pPr>
                    <w:pStyle w:val="Compact"/>
                    <w:jc w:val="right"/>
                    <w:jc w:val="center"/>
                  </w:pPr>
                  <w:r>
                    <w:t xml:space="preserve">0.01587</w:t>
                  </w:r>
                </w:p>
              </w:tc>
            </w:tr>
            <w:tr>
              <w:tc>
                <w:tcPr/>
                <w:p>
                  <w:pPr>
                    <w:pStyle w:val="Compact"/>
                    <w:jc w:val="left"/>
                    <w:jc w:val="center"/>
                  </w:pPr>
                  <w:r>
                    <w:t xml:space="preserve">Indian Lake</w:t>
                  </w:r>
                </w:p>
              </w:tc>
              <w:tc>
                <w:tcPr/>
                <w:p>
                  <w:pPr>
                    <w:pStyle w:val="Compact"/>
                    <w:jc w:val="left"/>
                    <w:jc w:val="center"/>
                  </w:pPr>
                  <w:r>
                    <w:t xml:space="preserve">Microcystis</w:t>
                  </w:r>
                </w:p>
              </w:tc>
              <w:tc>
                <w:tcPr/>
                <w:p>
                  <w:pPr>
                    <w:pStyle w:val="Compact"/>
                    <w:jc w:val="right"/>
                    <w:jc w:val="center"/>
                  </w:pPr>
                  <w:r>
                    <w:t xml:space="preserve">799.5</w:t>
                  </w:r>
                </w:p>
              </w:tc>
              <w:tc>
                <w:tcPr/>
                <w:p>
                  <w:pPr>
                    <w:pStyle w:val="Compact"/>
                    <w:jc w:val="right"/>
                    <w:jc w:val="center"/>
                  </w:pPr>
                  <w:r>
                    <w:t xml:space="preserve">0.01583</w:t>
                  </w:r>
                </w:p>
              </w:tc>
            </w:tr>
            <w:tr>
              <w:tc>
                <w:tcPr/>
                <w:p>
                  <w:pPr>
                    <w:pStyle w:val="Compact"/>
                    <w:jc w:val="left"/>
                    <w:jc w:val="center"/>
                  </w:pPr>
                  <w:r>
                    <w:t xml:space="preserve">Indian Lake</w:t>
                  </w:r>
                </w:p>
              </w:tc>
              <w:tc>
                <w:tcPr/>
                <w:p>
                  <w:pPr>
                    <w:pStyle w:val="Compact"/>
                    <w:jc w:val="left"/>
                    <w:jc w:val="center"/>
                  </w:pPr>
                  <w:r>
                    <w:t xml:space="preserve">Pseudanabaena</w:t>
                  </w:r>
                </w:p>
              </w:tc>
              <w:tc>
                <w:tcPr/>
                <w:p>
                  <w:pPr>
                    <w:pStyle w:val="Compact"/>
                    <w:jc w:val="right"/>
                    <w:jc w:val="center"/>
                  </w:pPr>
                  <w:r>
                    <w:t xml:space="preserve">159.6</w:t>
                  </w:r>
                </w:p>
              </w:tc>
              <w:tc>
                <w:tcPr/>
                <w:p>
                  <w:pPr>
                    <w:pStyle w:val="Compact"/>
                    <w:jc w:val="right"/>
                    <w:jc w:val="center"/>
                  </w:pPr>
                  <w:r>
                    <w:t xml:space="preserve">0.00316</w:t>
                  </w:r>
                </w:p>
              </w:tc>
            </w:tr>
            <w:tr>
              <w:tc>
                <w:tcPr/>
                <w:p>
                  <w:pPr>
                    <w:pStyle w:val="Compact"/>
                    <w:jc w:val="left"/>
                    <w:jc w:val="center"/>
                  </w:pPr>
                  <w:r>
                    <w:t xml:space="preserve">JL Curran Reservoir</w:t>
                  </w:r>
                </w:p>
              </w:tc>
              <w:tc>
                <w:tcPr/>
                <w:p>
                  <w:pPr>
                    <w:pStyle w:val="Compact"/>
                    <w:jc w:val="left"/>
                    <w:jc w:val="center"/>
                  </w:pPr>
                  <w:r>
                    <w:t xml:space="preserve">Chrysosporum</w:t>
                  </w:r>
                </w:p>
              </w:tc>
              <w:tc>
                <w:tcPr/>
                <w:p>
                  <w:pPr>
                    <w:pStyle w:val="Compact"/>
                    <w:jc w:val="right"/>
                    <w:jc w:val="center"/>
                  </w:pPr>
                  <w:r>
                    <w:t xml:space="preserve">1740876.9</w:t>
                  </w:r>
                </w:p>
              </w:tc>
              <w:tc>
                <w:tcPr/>
                <w:p>
                  <w:pPr>
                    <w:pStyle w:val="Compact"/>
                    <w:jc w:val="right"/>
                    <w:jc w:val="center"/>
                  </w:pPr>
                  <w:r>
                    <w:t xml:space="preserve">0.54117</w:t>
                  </w:r>
                </w:p>
              </w:tc>
            </w:tr>
            <w:tr>
              <w:tc>
                <w:tcPr/>
                <w:p>
                  <w:pPr>
                    <w:pStyle w:val="Compact"/>
                    <w:jc w:val="left"/>
                    <w:jc w:val="center"/>
                  </w:pPr>
                  <w:r>
                    <w:t xml:space="preserve">JL Curran Reservoir</w:t>
                  </w:r>
                </w:p>
              </w:tc>
              <w:tc>
                <w:tcPr/>
                <w:p>
                  <w:pPr>
                    <w:pStyle w:val="Compact"/>
                    <w:jc w:val="left"/>
                    <w:jc w:val="center"/>
                  </w:pPr>
                  <w:r>
                    <w:t xml:space="preserve">Microcystis</w:t>
                  </w:r>
                </w:p>
              </w:tc>
              <w:tc>
                <w:tcPr/>
                <w:p>
                  <w:pPr>
                    <w:pStyle w:val="Compact"/>
                    <w:jc w:val="right"/>
                    <w:jc w:val="center"/>
                  </w:pPr>
                  <w:r>
                    <w:t xml:space="preserve">502109.2</w:t>
                  </w:r>
                </w:p>
              </w:tc>
              <w:tc>
                <w:tcPr/>
                <w:p>
                  <w:pPr>
                    <w:pStyle w:val="Compact"/>
                    <w:jc w:val="right"/>
                    <w:jc w:val="center"/>
                  </w:pPr>
                  <w:r>
                    <w:t xml:space="preserve">0.15609</w:t>
                  </w:r>
                </w:p>
              </w:tc>
            </w:tr>
            <w:tr>
              <w:tc>
                <w:tcPr/>
                <w:p>
                  <w:pPr>
                    <w:pStyle w:val="Compact"/>
                    <w:jc w:val="left"/>
                    <w:jc w:val="center"/>
                  </w:pPr>
                  <w:r>
                    <w:t xml:space="preserve">JL Curran Reservoir</w:t>
                  </w:r>
                </w:p>
              </w:tc>
              <w:tc>
                <w:tcPr/>
                <w:p>
                  <w:pPr>
                    <w:pStyle w:val="Compact"/>
                    <w:jc w:val="left"/>
                    <w:jc w:val="center"/>
                  </w:pPr>
                  <w:r>
                    <w:t xml:space="preserve">Woronichinia</w:t>
                  </w:r>
                </w:p>
              </w:tc>
              <w:tc>
                <w:tcPr/>
                <w:p>
                  <w:pPr>
                    <w:pStyle w:val="Compact"/>
                    <w:jc w:val="right"/>
                    <w:jc w:val="center"/>
                  </w:pPr>
                  <w:r>
                    <w:t xml:space="preserve">92433.8</w:t>
                  </w:r>
                </w:p>
              </w:tc>
              <w:tc>
                <w:tcPr/>
                <w:p>
                  <w:pPr>
                    <w:pStyle w:val="Compact"/>
                    <w:jc w:val="right"/>
                    <w:jc w:val="center"/>
                  </w:pPr>
                  <w:r>
                    <w:t xml:space="preserve">0.02873</w:t>
                  </w:r>
                </w:p>
              </w:tc>
            </w:tr>
            <w:tr>
              <w:tc>
                <w:tcPr/>
                <w:p>
                  <w:pPr>
                    <w:pStyle w:val="Compact"/>
                    <w:jc w:val="left"/>
                    <w:jc w:val="center"/>
                  </w:pPr>
                  <w:r>
                    <w:t xml:space="preserve">JL Curran Reservoir</w:t>
                  </w:r>
                </w:p>
              </w:tc>
              <w:tc>
                <w:tcPr/>
                <w:p>
                  <w:pPr>
                    <w:pStyle w:val="Compact"/>
                    <w:jc w:val="left"/>
                    <w:jc w:val="center"/>
                  </w:pPr>
                  <w:r>
                    <w:t xml:space="preserve">Synechocystis</w:t>
                  </w:r>
                </w:p>
              </w:tc>
              <w:tc>
                <w:tcPr/>
                <w:p>
                  <w:pPr>
                    <w:pStyle w:val="Compact"/>
                    <w:jc w:val="right"/>
                    <w:jc w:val="center"/>
                  </w:pPr>
                  <w:r>
                    <w:t xml:space="preserve">14311.9</w:t>
                  </w:r>
                </w:p>
              </w:tc>
              <w:tc>
                <w:tcPr/>
                <w:p>
                  <w:pPr>
                    <w:pStyle w:val="Compact"/>
                    <w:jc w:val="right"/>
                    <w:jc w:val="center"/>
                  </w:pPr>
                  <w:r>
                    <w:t xml:space="preserve">0.00445</w:t>
                  </w:r>
                </w:p>
              </w:tc>
            </w:tr>
            <w:tr>
              <w:tc>
                <w:tcPr/>
                <w:p>
                  <w:pPr>
                    <w:pStyle w:val="Compact"/>
                    <w:jc w:val="left"/>
                    <w:jc w:val="center"/>
                  </w:pPr>
                  <w:r>
                    <w:t xml:space="preserve">JL Curran Reservoir</w:t>
                  </w:r>
                </w:p>
              </w:tc>
              <w:tc>
                <w:tcPr/>
                <w:p>
                  <w:pPr>
                    <w:pStyle w:val="Compact"/>
                    <w:jc w:val="left"/>
                    <w:jc w:val="center"/>
                  </w:pPr>
                  <w:r>
                    <w:t xml:space="preserve">Aphanocapsa</w:t>
                  </w:r>
                </w:p>
              </w:tc>
              <w:tc>
                <w:tcPr/>
                <w:p>
                  <w:pPr>
                    <w:pStyle w:val="Compact"/>
                    <w:jc w:val="right"/>
                    <w:jc w:val="center"/>
                  </w:pPr>
                  <w:r>
                    <w:t xml:space="preserve">14249.2</w:t>
                  </w:r>
                </w:p>
              </w:tc>
              <w:tc>
                <w:tcPr/>
                <w:p>
                  <w:pPr>
                    <w:pStyle w:val="Compact"/>
                    <w:jc w:val="right"/>
                    <w:jc w:val="center"/>
                  </w:pPr>
                  <w:r>
                    <w:t xml:space="preserve">0.00443</w:t>
                  </w:r>
                </w:p>
              </w:tc>
            </w:tr>
            <w:tr>
              <w:tc>
                <w:tcPr/>
                <w:p>
                  <w:pPr>
                    <w:pStyle w:val="Compact"/>
                    <w:jc w:val="left"/>
                    <w:jc w:val="center"/>
                  </w:pPr>
                  <w:r>
                    <w:t xml:space="preserve">JL Curran Reservoir</w:t>
                  </w:r>
                </w:p>
              </w:tc>
              <w:tc>
                <w:tcPr/>
                <w:p>
                  <w:pPr>
                    <w:pStyle w:val="Compact"/>
                    <w:jc w:val="left"/>
                    <w:jc w:val="center"/>
                  </w:pPr>
                  <w:r>
                    <w:t xml:space="preserve">Synechococcus</w:t>
                  </w:r>
                </w:p>
              </w:tc>
              <w:tc>
                <w:tcPr/>
                <w:p>
                  <w:pPr>
                    <w:pStyle w:val="Compact"/>
                    <w:jc w:val="right"/>
                    <w:jc w:val="center"/>
                  </w:pPr>
                  <w:r>
                    <w:t xml:space="preserve">5813.3</w:t>
                  </w:r>
                </w:p>
              </w:tc>
              <w:tc>
                <w:tcPr/>
                <w:p>
                  <w:pPr>
                    <w:pStyle w:val="Compact"/>
                    <w:jc w:val="right"/>
                    <w:jc w:val="center"/>
                  </w:pPr>
                  <w:r>
                    <w:t xml:space="preserve">0.00181</w:t>
                  </w:r>
                </w:p>
              </w:tc>
            </w:tr>
            <w:tr>
              <w:tc>
                <w:tcPr/>
                <w:p>
                  <w:pPr>
                    <w:pStyle w:val="Compact"/>
                    <w:jc w:val="left"/>
                    <w:jc w:val="center"/>
                  </w:pPr>
                  <w:r>
                    <w:t xml:space="preserve">JL Curran Reservoir</w:t>
                  </w:r>
                </w:p>
              </w:tc>
              <w:tc>
                <w:tcPr/>
                <w:p>
                  <w:pPr>
                    <w:pStyle w:val="Compact"/>
                    <w:jc w:val="left"/>
                    <w:jc w:val="center"/>
                  </w:pPr>
                  <w:r>
                    <w:t xml:space="preserve">Unknwon Chroococcaceae</w:t>
                  </w:r>
                </w:p>
              </w:tc>
              <w:tc>
                <w:tcPr/>
                <w:p>
                  <w:pPr>
                    <w:pStyle w:val="Compact"/>
                    <w:jc w:val="right"/>
                    <w:jc w:val="center"/>
                  </w:pPr>
                  <w:r>
                    <w:t xml:space="preserve">3648.0</w:t>
                  </w:r>
                </w:p>
              </w:tc>
              <w:tc>
                <w:tcPr/>
                <w:p>
                  <w:pPr>
                    <w:pStyle w:val="Compact"/>
                    <w:jc w:val="right"/>
                    <w:jc w:val="center"/>
                  </w:pPr>
                  <w:r>
                    <w:t xml:space="preserve">0.00113</w:t>
                  </w:r>
                </w:p>
              </w:tc>
            </w:tr>
            <w:tr>
              <w:tc>
                <w:tcPr/>
                <w:p>
                  <w:pPr>
                    <w:pStyle w:val="Compact"/>
                    <w:jc w:val="left"/>
                    <w:jc w:val="center"/>
                  </w:pPr>
                  <w:r>
                    <w:t xml:space="preserve">JL Curran Reservoir</w:t>
                  </w:r>
                </w:p>
              </w:tc>
              <w:tc>
                <w:tcPr/>
                <w:p>
                  <w:pPr>
                    <w:pStyle w:val="Compact"/>
                    <w:jc w:val="left"/>
                    <w:jc w:val="center"/>
                  </w:pPr>
                  <w:r>
                    <w:t xml:space="preserve">Chroococcus</w:t>
                  </w:r>
                </w:p>
              </w:tc>
              <w:tc>
                <w:tcPr/>
                <w:p>
                  <w:pPr>
                    <w:pStyle w:val="Compact"/>
                    <w:jc w:val="right"/>
                    <w:jc w:val="center"/>
                  </w:pPr>
                  <w:r>
                    <w:t xml:space="preserve">1641.5</w:t>
                  </w:r>
                </w:p>
              </w:tc>
              <w:tc>
                <w:tcPr/>
                <w:p>
                  <w:pPr>
                    <w:pStyle w:val="Compact"/>
                    <w:jc w:val="right"/>
                    <w:jc w:val="center"/>
                  </w:pPr>
                  <w:r>
                    <w:t xml:space="preserve">0.00051</w:t>
                  </w:r>
                </w:p>
              </w:tc>
            </w:tr>
            <w:tr>
              <w:tc>
                <w:tcPr/>
                <w:p>
                  <w:pPr>
                    <w:pStyle w:val="Compact"/>
                    <w:jc w:val="left"/>
                    <w:jc w:val="center"/>
                  </w:pPr>
                  <w:r>
                    <w:t xml:space="preserve">Mashapaug Pond</w:t>
                  </w:r>
                </w:p>
              </w:tc>
              <w:tc>
                <w:tcPr/>
                <w:p>
                  <w:pPr>
                    <w:pStyle w:val="Compact"/>
                    <w:jc w:val="left"/>
                    <w:jc w:val="center"/>
                  </w:pPr>
                  <w:r>
                    <w:t xml:space="preserve">Microcystis</w:t>
                  </w:r>
                </w:p>
              </w:tc>
              <w:tc>
                <w:tcPr/>
                <w:p>
                  <w:pPr>
                    <w:pStyle w:val="Compact"/>
                    <w:jc w:val="right"/>
                    <w:jc w:val="center"/>
                  </w:pPr>
                  <w:r>
                    <w:t xml:space="preserve">9760627.2</w:t>
                  </w:r>
                </w:p>
              </w:tc>
              <w:tc>
                <w:tcPr/>
                <w:p>
                  <w:pPr>
                    <w:pStyle w:val="Compact"/>
                    <w:jc w:val="right"/>
                    <w:jc w:val="center"/>
                  </w:pPr>
                  <w:r>
                    <w:t xml:space="preserve">0.46000</w:t>
                  </w:r>
                </w:p>
              </w:tc>
            </w:tr>
            <w:tr>
              <w:tc>
                <w:tcPr/>
                <w:p>
                  <w:pPr>
                    <w:pStyle w:val="Compact"/>
                    <w:jc w:val="left"/>
                    <w:jc w:val="center"/>
                  </w:pPr>
                  <w:r>
                    <w:t xml:space="preserve">Mashapaug Pond</w:t>
                  </w:r>
                </w:p>
              </w:tc>
              <w:tc>
                <w:tcPr/>
                <w:p>
                  <w:pPr>
                    <w:pStyle w:val="Compact"/>
                    <w:jc w:val="left"/>
                    <w:jc w:val="center"/>
                  </w:pPr>
                  <w:r>
                    <w:t xml:space="preserve">Woronichinia</w:t>
                  </w:r>
                </w:p>
              </w:tc>
              <w:tc>
                <w:tcPr/>
                <w:p>
                  <w:pPr>
                    <w:pStyle w:val="Compact"/>
                    <w:jc w:val="right"/>
                    <w:jc w:val="center"/>
                  </w:pPr>
                  <w:r>
                    <w:t xml:space="preserve">3549726.2</w:t>
                  </w:r>
                </w:p>
              </w:tc>
              <w:tc>
                <w:tcPr/>
                <w:p>
                  <w:pPr>
                    <w:pStyle w:val="Compact"/>
                    <w:jc w:val="right"/>
                    <w:jc w:val="center"/>
                  </w:pPr>
                  <w:r>
                    <w:t xml:space="preserve">0.16729</w:t>
                  </w:r>
                </w:p>
              </w:tc>
            </w:tr>
            <w:tr>
              <w:tc>
                <w:tcPr/>
                <w:p>
                  <w:pPr>
                    <w:pStyle w:val="Compact"/>
                    <w:jc w:val="left"/>
                    <w:jc w:val="center"/>
                  </w:pPr>
                  <w:r>
                    <w:t xml:space="preserve">Mashapaug Pond</w:t>
                  </w:r>
                </w:p>
              </w:tc>
              <w:tc>
                <w:tcPr/>
                <w:p>
                  <w:pPr>
                    <w:pStyle w:val="Compact"/>
                    <w:jc w:val="left"/>
                    <w:jc w:val="center"/>
                  </w:pPr>
                  <w:r>
                    <w:t xml:space="preserve">Dolichospermum</w:t>
                  </w:r>
                </w:p>
              </w:tc>
              <w:tc>
                <w:tcPr/>
                <w:p>
                  <w:pPr>
                    <w:pStyle w:val="Compact"/>
                    <w:jc w:val="right"/>
                    <w:jc w:val="center"/>
                  </w:pPr>
                  <w:r>
                    <w:t xml:space="preserve">3525235.3</w:t>
                  </w:r>
                </w:p>
              </w:tc>
              <w:tc>
                <w:tcPr/>
                <w:p>
                  <w:pPr>
                    <w:pStyle w:val="Compact"/>
                    <w:jc w:val="right"/>
                    <w:jc w:val="center"/>
                  </w:pPr>
                  <w:r>
                    <w:t xml:space="preserve">0.16614</w:t>
                  </w:r>
                </w:p>
              </w:tc>
            </w:tr>
            <w:tr>
              <w:tc>
                <w:tcPr/>
                <w:p>
                  <w:pPr>
                    <w:pStyle w:val="Compact"/>
                    <w:jc w:val="left"/>
                    <w:jc w:val="center"/>
                  </w:pPr>
                  <w:r>
                    <w:t xml:space="preserve">Mashapaug Pond</w:t>
                  </w:r>
                </w:p>
              </w:tc>
              <w:tc>
                <w:tcPr/>
                <w:p>
                  <w:pPr>
                    <w:pStyle w:val="Compact"/>
                    <w:jc w:val="left"/>
                    <w:jc w:val="center"/>
                  </w:pPr>
                  <w:r>
                    <w:t xml:space="preserve">Aphanizomenon</w:t>
                  </w:r>
                </w:p>
              </w:tc>
              <w:tc>
                <w:tcPr/>
                <w:p>
                  <w:pPr>
                    <w:pStyle w:val="Compact"/>
                    <w:jc w:val="right"/>
                    <w:jc w:val="center"/>
                  </w:pPr>
                  <w:r>
                    <w:t xml:space="preserve">963532.7</w:t>
                  </w:r>
                </w:p>
              </w:tc>
              <w:tc>
                <w:tcPr/>
                <w:p>
                  <w:pPr>
                    <w:pStyle w:val="Compact"/>
                    <w:jc w:val="right"/>
                    <w:jc w:val="center"/>
                  </w:pPr>
                  <w:r>
                    <w:t xml:space="preserve">0.04541</w:t>
                  </w:r>
                </w:p>
              </w:tc>
            </w:tr>
            <w:tr>
              <w:tc>
                <w:tcPr/>
                <w:p>
                  <w:pPr>
                    <w:pStyle w:val="Compact"/>
                    <w:jc w:val="left"/>
                    <w:jc w:val="center"/>
                  </w:pPr>
                  <w:r>
                    <w:t xml:space="preserve">Mashapaug Pond</w:t>
                  </w:r>
                </w:p>
              </w:tc>
              <w:tc>
                <w:tcPr/>
                <w:p>
                  <w:pPr>
                    <w:pStyle w:val="Compact"/>
                    <w:jc w:val="left"/>
                    <w:jc w:val="center"/>
                  </w:pPr>
                  <w:r>
                    <w:t xml:space="preserve">Planktothrix</w:t>
                  </w:r>
                </w:p>
              </w:tc>
              <w:tc>
                <w:tcPr/>
                <w:p>
                  <w:pPr>
                    <w:pStyle w:val="Compact"/>
                    <w:jc w:val="right"/>
                    <w:jc w:val="center"/>
                  </w:pPr>
                  <w:r>
                    <w:t xml:space="preserve">330867.0</w:t>
                  </w:r>
                </w:p>
              </w:tc>
              <w:tc>
                <w:tcPr/>
                <w:p>
                  <w:pPr>
                    <w:pStyle w:val="Compact"/>
                    <w:jc w:val="right"/>
                    <w:jc w:val="center"/>
                  </w:pPr>
                  <w:r>
                    <w:t xml:space="preserve">0.01559</w:t>
                  </w:r>
                </w:p>
              </w:tc>
            </w:tr>
            <w:tr>
              <w:tc>
                <w:tcPr/>
                <w:p>
                  <w:pPr>
                    <w:pStyle w:val="Compact"/>
                    <w:jc w:val="left"/>
                    <w:jc w:val="center"/>
                  </w:pPr>
                  <w:r>
                    <w:t xml:space="preserve">Mashapaug Pond</w:t>
                  </w:r>
                </w:p>
              </w:tc>
              <w:tc>
                <w:tcPr/>
                <w:p>
                  <w:pPr>
                    <w:pStyle w:val="Compact"/>
                    <w:jc w:val="left"/>
                    <w:jc w:val="center"/>
                  </w:pPr>
                  <w:r>
                    <w:t xml:space="preserve">Cuspidothrix</w:t>
                  </w:r>
                </w:p>
              </w:tc>
              <w:tc>
                <w:tcPr/>
                <w:p>
                  <w:pPr>
                    <w:pStyle w:val="Compact"/>
                    <w:jc w:val="right"/>
                    <w:jc w:val="center"/>
                  </w:pPr>
                  <w:r>
                    <w:t xml:space="preserve">227631.4</w:t>
                  </w:r>
                </w:p>
              </w:tc>
              <w:tc>
                <w:tcPr/>
                <w:p>
                  <w:pPr>
                    <w:pStyle w:val="Compact"/>
                    <w:jc w:val="right"/>
                    <w:jc w:val="center"/>
                  </w:pPr>
                  <w:r>
                    <w:t xml:space="preserve">0.01073</w:t>
                  </w:r>
                </w:p>
              </w:tc>
            </w:tr>
            <w:tr>
              <w:tc>
                <w:tcPr/>
                <w:p>
                  <w:pPr>
                    <w:pStyle w:val="Compact"/>
                    <w:jc w:val="left"/>
                    <w:jc w:val="center"/>
                  </w:pPr>
                  <w:r>
                    <w:t xml:space="preserve">Mashapaug Pond</w:t>
                  </w:r>
                </w:p>
              </w:tc>
              <w:tc>
                <w:tcPr/>
                <w:p>
                  <w:pPr>
                    <w:pStyle w:val="Compact"/>
                    <w:jc w:val="left"/>
                    <w:jc w:val="center"/>
                  </w:pPr>
                  <w:r>
                    <w:t xml:space="preserve">Unknwon Chroococcaceae</w:t>
                  </w:r>
                </w:p>
              </w:tc>
              <w:tc>
                <w:tcPr/>
                <w:p>
                  <w:pPr>
                    <w:pStyle w:val="Compact"/>
                    <w:jc w:val="right"/>
                    <w:jc w:val="center"/>
                  </w:pPr>
                  <w:r>
                    <w:t xml:space="preserve">15390.2</w:t>
                  </w:r>
                </w:p>
              </w:tc>
              <w:tc>
                <w:tcPr/>
                <w:p>
                  <w:pPr>
                    <w:pStyle w:val="Compact"/>
                    <w:jc w:val="right"/>
                    <w:jc w:val="center"/>
                  </w:pPr>
                  <w:r>
                    <w:t xml:space="preserve">0.00073</w:t>
                  </w:r>
                </w:p>
              </w:tc>
            </w:tr>
            <w:tr>
              <w:tc>
                <w:tcPr/>
                <w:p>
                  <w:pPr>
                    <w:pStyle w:val="Compact"/>
                    <w:jc w:val="left"/>
                    <w:jc w:val="center"/>
                  </w:pPr>
                  <w:r>
                    <w:t xml:space="preserve">Mashapaug Pond</w:t>
                  </w:r>
                </w:p>
              </w:tc>
              <w:tc>
                <w:tcPr/>
                <w:p>
                  <w:pPr>
                    <w:pStyle w:val="Compact"/>
                    <w:jc w:val="left"/>
                    <w:jc w:val="center"/>
                  </w:pPr>
                  <w:r>
                    <w:t xml:space="preserve">Synechococcus</w:t>
                  </w:r>
                </w:p>
              </w:tc>
              <w:tc>
                <w:tcPr/>
                <w:p>
                  <w:pPr>
                    <w:pStyle w:val="Compact"/>
                    <w:jc w:val="right"/>
                    <w:jc w:val="center"/>
                  </w:pPr>
                  <w:r>
                    <w:t xml:space="preserve">8720.0</w:t>
                  </w:r>
                </w:p>
              </w:tc>
              <w:tc>
                <w:tcPr/>
                <w:p>
                  <w:pPr>
                    <w:pStyle w:val="Compact"/>
                    <w:jc w:val="right"/>
                    <w:jc w:val="center"/>
                  </w:pPr>
                  <w:r>
                    <w:t xml:space="preserve">0.00041</w:t>
                  </w:r>
                </w:p>
              </w:tc>
            </w:tr>
            <w:tr>
              <w:tc>
                <w:tcPr/>
                <w:p>
                  <w:pPr>
                    <w:pStyle w:val="Compact"/>
                    <w:jc w:val="left"/>
                    <w:jc w:val="center"/>
                  </w:pPr>
                  <w:r>
                    <w:t xml:space="preserve">Mashapaug Pond</w:t>
                  </w:r>
                </w:p>
              </w:tc>
              <w:tc>
                <w:tcPr/>
                <w:p>
                  <w:pPr>
                    <w:pStyle w:val="Compact"/>
                    <w:jc w:val="left"/>
                    <w:jc w:val="center"/>
                  </w:pPr>
                  <w:r>
                    <w:t xml:space="preserve">Aphanocapsa</w:t>
                  </w:r>
                </w:p>
              </w:tc>
              <w:tc>
                <w:tcPr/>
                <w:p>
                  <w:pPr>
                    <w:pStyle w:val="Compact"/>
                    <w:jc w:val="right"/>
                    <w:jc w:val="center"/>
                  </w:pPr>
                  <w:r>
                    <w:t xml:space="preserve">2770.6</w:t>
                  </w:r>
                </w:p>
              </w:tc>
              <w:tc>
                <w:tcPr/>
                <w:p>
                  <w:pPr>
                    <w:pStyle w:val="Compact"/>
                    <w:jc w:val="right"/>
                    <w:jc w:val="center"/>
                  </w:pPr>
                  <w:r>
                    <w:t xml:space="preserve">0.00013</w:t>
                  </w:r>
                </w:p>
              </w:tc>
            </w:tr>
            <w:tr>
              <w:tc>
                <w:tcPr/>
                <w:p>
                  <w:pPr>
                    <w:pStyle w:val="Compact"/>
                    <w:jc w:val="left"/>
                    <w:jc w:val="center"/>
                  </w:pPr>
                  <w:r>
                    <w:t xml:space="preserve">Mashapaug Pond</w:t>
                  </w:r>
                </w:p>
              </w:tc>
              <w:tc>
                <w:tcPr/>
                <w:p>
                  <w:pPr>
                    <w:pStyle w:val="Compact"/>
                    <w:jc w:val="left"/>
                    <w:jc w:val="center"/>
                  </w:pPr>
                  <w:r>
                    <w:t xml:space="preserve">Synechocystis</w:t>
                  </w:r>
                </w:p>
              </w:tc>
              <w:tc>
                <w:tcPr/>
                <w:p>
                  <w:pPr>
                    <w:pStyle w:val="Compact"/>
                    <w:jc w:val="right"/>
                    <w:jc w:val="center"/>
                  </w:pPr>
                  <w:r>
                    <w:t xml:space="preserve">447.2</w:t>
                  </w:r>
                </w:p>
              </w:tc>
              <w:tc>
                <w:tcPr/>
                <w:p>
                  <w:pPr>
                    <w:pStyle w:val="Compact"/>
                    <w:jc w:val="right"/>
                    <w:jc w:val="center"/>
                  </w:pPr>
                  <w:r>
                    <w:t xml:space="preserve">0.00002</w:t>
                  </w:r>
                </w:p>
              </w:tc>
            </w:tr>
            <w:tr>
              <w:tc>
                <w:tcPr/>
                <w:p>
                  <w:pPr>
                    <w:pStyle w:val="Compact"/>
                    <w:jc w:val="left"/>
                    <w:jc w:val="center"/>
                  </w:pPr>
                  <w:r>
                    <w:t xml:space="preserve">Warwick Pond</w:t>
                  </w:r>
                </w:p>
              </w:tc>
              <w:tc>
                <w:tcPr/>
                <w:p>
                  <w:pPr>
                    <w:pStyle w:val="Compact"/>
                    <w:jc w:val="left"/>
                    <w:jc w:val="center"/>
                  </w:pPr>
                  <w:r>
                    <w:t xml:space="preserve">Microcystis</w:t>
                  </w:r>
                </w:p>
              </w:tc>
              <w:tc>
                <w:tcPr/>
                <w:p>
                  <w:pPr>
                    <w:pStyle w:val="Compact"/>
                    <w:jc w:val="right"/>
                    <w:jc w:val="center"/>
                  </w:pPr>
                  <w:r>
                    <w:t xml:space="preserve">9612332.3</w:t>
                  </w:r>
                </w:p>
              </w:tc>
              <w:tc>
                <w:tcPr/>
                <w:p>
                  <w:pPr>
                    <w:pStyle w:val="Compact"/>
                    <w:jc w:val="right"/>
                    <w:jc w:val="center"/>
                  </w:pPr>
                  <w:r>
                    <w:t xml:space="preserve">0.66326</w:t>
                  </w:r>
                </w:p>
              </w:tc>
            </w:tr>
            <w:tr>
              <w:tc>
                <w:tcPr/>
                <w:p>
                  <w:pPr>
                    <w:pStyle w:val="Compact"/>
                    <w:jc w:val="left"/>
                    <w:jc w:val="center"/>
                  </w:pPr>
                  <w:r>
                    <w:t xml:space="preserve">Warwick Pond</w:t>
                  </w:r>
                </w:p>
              </w:tc>
              <w:tc>
                <w:tcPr/>
                <w:p>
                  <w:pPr>
                    <w:pStyle w:val="Compact"/>
                    <w:jc w:val="left"/>
                    <w:jc w:val="center"/>
                  </w:pPr>
                  <w:r>
                    <w:t xml:space="preserve">Dolichospermum</w:t>
                  </w:r>
                </w:p>
              </w:tc>
              <w:tc>
                <w:tcPr/>
                <w:p>
                  <w:pPr>
                    <w:pStyle w:val="Compact"/>
                    <w:jc w:val="right"/>
                    <w:jc w:val="center"/>
                  </w:pPr>
                  <w:r>
                    <w:t xml:space="preserve">2346541.1</w:t>
                  </w:r>
                </w:p>
              </w:tc>
              <w:tc>
                <w:tcPr/>
                <w:p>
                  <w:pPr>
                    <w:pStyle w:val="Compact"/>
                    <w:jc w:val="right"/>
                    <w:jc w:val="center"/>
                  </w:pPr>
                  <w:r>
                    <w:t xml:space="preserve">0.16191</w:t>
                  </w:r>
                </w:p>
              </w:tc>
            </w:tr>
            <w:tr>
              <w:tc>
                <w:tcPr/>
                <w:p>
                  <w:pPr>
                    <w:pStyle w:val="Compact"/>
                    <w:jc w:val="left"/>
                    <w:jc w:val="center"/>
                  </w:pPr>
                  <w:r>
                    <w:t xml:space="preserve">Warwick Pond</w:t>
                  </w:r>
                </w:p>
              </w:tc>
              <w:tc>
                <w:tcPr/>
                <w:p>
                  <w:pPr>
                    <w:pStyle w:val="Compact"/>
                    <w:jc w:val="left"/>
                    <w:jc w:val="center"/>
                  </w:pPr>
                  <w:r>
                    <w:t xml:space="preserve">Chrysosporum</w:t>
                  </w:r>
                </w:p>
              </w:tc>
              <w:tc>
                <w:tcPr/>
                <w:p>
                  <w:pPr>
                    <w:pStyle w:val="Compact"/>
                    <w:jc w:val="right"/>
                    <w:jc w:val="center"/>
                  </w:pPr>
                  <w:r>
                    <w:t xml:space="preserve">616348.7</w:t>
                  </w:r>
                </w:p>
              </w:tc>
              <w:tc>
                <w:tcPr/>
                <w:p>
                  <w:pPr>
                    <w:pStyle w:val="Compact"/>
                    <w:jc w:val="right"/>
                    <w:jc w:val="center"/>
                  </w:pPr>
                  <w:r>
                    <w:t xml:space="preserve">0.04253</w:t>
                  </w:r>
                </w:p>
              </w:tc>
            </w:tr>
            <w:tr>
              <w:tc>
                <w:tcPr/>
                <w:p>
                  <w:pPr>
                    <w:pStyle w:val="Compact"/>
                    <w:jc w:val="left"/>
                    <w:jc w:val="center"/>
                  </w:pPr>
                  <w:r>
                    <w:t xml:space="preserve">Warwick Pond</w:t>
                  </w:r>
                </w:p>
              </w:tc>
              <w:tc>
                <w:tcPr/>
                <w:p>
                  <w:pPr>
                    <w:pStyle w:val="Compact"/>
                    <w:jc w:val="left"/>
                    <w:jc w:val="center"/>
                  </w:pPr>
                  <w:r>
                    <w:t xml:space="preserve">Aphanocapsa</w:t>
                  </w:r>
                </w:p>
              </w:tc>
              <w:tc>
                <w:tcPr/>
                <w:p>
                  <w:pPr>
                    <w:pStyle w:val="Compact"/>
                    <w:jc w:val="right"/>
                    <w:jc w:val="center"/>
                  </w:pPr>
                  <w:r>
                    <w:t xml:space="preserve">150471.8</w:t>
                  </w:r>
                </w:p>
              </w:tc>
              <w:tc>
                <w:tcPr/>
                <w:p>
                  <w:pPr>
                    <w:pStyle w:val="Compact"/>
                    <w:jc w:val="right"/>
                    <w:jc w:val="center"/>
                  </w:pPr>
                  <w:r>
                    <w:t xml:space="preserve">0.01038</w:t>
                  </w:r>
                </w:p>
              </w:tc>
            </w:tr>
            <w:tr>
              <w:tc>
                <w:tcPr/>
                <w:p>
                  <w:pPr>
                    <w:pStyle w:val="Compact"/>
                    <w:jc w:val="left"/>
                    <w:jc w:val="center"/>
                  </w:pPr>
                  <w:r>
                    <w:t xml:space="preserve">Warwick Pond</w:t>
                  </w:r>
                </w:p>
              </w:tc>
              <w:tc>
                <w:tcPr/>
                <w:p>
                  <w:pPr>
                    <w:pStyle w:val="Compact"/>
                    <w:jc w:val="left"/>
                    <w:jc w:val="center"/>
                  </w:pPr>
                  <w:r>
                    <w:t xml:space="preserve">Raphidiopsis</w:t>
                  </w:r>
                </w:p>
              </w:tc>
              <w:tc>
                <w:tcPr/>
                <w:p>
                  <w:pPr>
                    <w:pStyle w:val="Compact"/>
                    <w:jc w:val="right"/>
                    <w:jc w:val="center"/>
                  </w:pPr>
                  <w:r>
                    <w:t xml:space="preserve">35358.1</w:t>
                  </w:r>
                </w:p>
              </w:tc>
              <w:tc>
                <w:tcPr/>
                <w:p>
                  <w:pPr>
                    <w:pStyle w:val="Compact"/>
                    <w:jc w:val="right"/>
                    <w:jc w:val="center"/>
                  </w:pPr>
                  <w:r>
                    <w:t xml:space="preserve">0.00244</w:t>
                  </w:r>
                </w:p>
              </w:tc>
            </w:tr>
            <w:tr>
              <w:tc>
                <w:tcPr/>
                <w:p>
                  <w:pPr>
                    <w:pStyle w:val="Compact"/>
                    <w:jc w:val="left"/>
                    <w:jc w:val="center"/>
                  </w:pPr>
                  <w:r>
                    <w:t xml:space="preserve">Warwick Pond</w:t>
                  </w:r>
                </w:p>
              </w:tc>
              <w:tc>
                <w:tcPr/>
                <w:p>
                  <w:pPr>
                    <w:pStyle w:val="Compact"/>
                    <w:jc w:val="left"/>
                    <w:jc w:val="center"/>
                  </w:pPr>
                  <w:r>
                    <w:t xml:space="preserve">Pseudanabaena</w:t>
                  </w:r>
                </w:p>
              </w:tc>
              <w:tc>
                <w:tcPr/>
                <w:p>
                  <w:pPr>
                    <w:pStyle w:val="Compact"/>
                    <w:jc w:val="right"/>
                    <w:jc w:val="center"/>
                  </w:pPr>
                  <w:r>
                    <w:t xml:space="preserve">33824.0</w:t>
                  </w:r>
                </w:p>
              </w:tc>
              <w:tc>
                <w:tcPr/>
                <w:p>
                  <w:pPr>
                    <w:pStyle w:val="Compact"/>
                    <w:jc w:val="right"/>
                    <w:jc w:val="center"/>
                  </w:pPr>
                  <w:r>
                    <w:t xml:space="preserve">0.00233</w:t>
                  </w:r>
                </w:p>
              </w:tc>
            </w:tr>
            <w:tr>
              <w:tc>
                <w:tcPr/>
                <w:p>
                  <w:pPr>
                    <w:pStyle w:val="Compact"/>
                    <w:jc w:val="left"/>
                    <w:jc w:val="center"/>
                  </w:pPr>
                  <w:r>
                    <w:t xml:space="preserve">Warwick Pond</w:t>
                  </w:r>
                </w:p>
              </w:tc>
              <w:tc>
                <w:tcPr/>
                <w:p>
                  <w:pPr>
                    <w:pStyle w:val="Compact"/>
                    <w:jc w:val="left"/>
                    <w:jc w:val="center"/>
                  </w:pPr>
                  <w:r>
                    <w:t xml:space="preserve">Woronichinia</w:t>
                  </w:r>
                </w:p>
              </w:tc>
              <w:tc>
                <w:tcPr/>
                <w:p>
                  <w:pPr>
                    <w:pStyle w:val="Compact"/>
                    <w:jc w:val="right"/>
                    <w:jc w:val="center"/>
                  </w:pPr>
                  <w:r>
                    <w:t xml:space="preserve">31991.8</w:t>
                  </w:r>
                </w:p>
              </w:tc>
              <w:tc>
                <w:tcPr/>
                <w:p>
                  <w:pPr>
                    <w:pStyle w:val="Compact"/>
                    <w:jc w:val="right"/>
                    <w:jc w:val="center"/>
                  </w:pPr>
                  <w:r>
                    <w:t xml:space="preserve">0.00221</w:t>
                  </w:r>
                </w:p>
              </w:tc>
            </w:tr>
            <w:tr>
              <w:tc>
                <w:tcPr/>
                <w:p>
                  <w:pPr>
                    <w:pStyle w:val="Compact"/>
                    <w:jc w:val="left"/>
                    <w:jc w:val="center"/>
                  </w:pPr>
                  <w:r>
                    <w:t xml:space="preserve">Warwick Pond</w:t>
                  </w:r>
                </w:p>
              </w:tc>
              <w:tc>
                <w:tcPr/>
                <w:p>
                  <w:pPr>
                    <w:pStyle w:val="Compact"/>
                    <w:jc w:val="left"/>
                    <w:jc w:val="center"/>
                  </w:pPr>
                  <w:r>
                    <w:t xml:space="preserve">Merismopedia</w:t>
                  </w:r>
                </w:p>
              </w:tc>
              <w:tc>
                <w:tcPr/>
                <w:p>
                  <w:pPr>
                    <w:pStyle w:val="Compact"/>
                    <w:jc w:val="right"/>
                    <w:jc w:val="center"/>
                  </w:pPr>
                  <w:r>
                    <w:t xml:space="preserve">29175.9</w:t>
                  </w:r>
                </w:p>
              </w:tc>
              <w:tc>
                <w:tcPr/>
                <w:p>
                  <w:pPr>
                    <w:pStyle w:val="Compact"/>
                    <w:jc w:val="right"/>
                    <w:jc w:val="center"/>
                  </w:pPr>
                  <w:r>
                    <w:t xml:space="preserve">0.00201</w:t>
                  </w:r>
                </w:p>
              </w:tc>
            </w:tr>
            <w:tr>
              <w:tc>
                <w:tcPr/>
                <w:p>
                  <w:pPr>
                    <w:pStyle w:val="Compact"/>
                    <w:jc w:val="left"/>
                    <w:jc w:val="center"/>
                  </w:pPr>
                  <w:r>
                    <w:t xml:space="preserve">Warwick Pond</w:t>
                  </w:r>
                </w:p>
              </w:tc>
              <w:tc>
                <w:tcPr/>
                <w:p>
                  <w:pPr>
                    <w:pStyle w:val="Compact"/>
                    <w:jc w:val="left"/>
                    <w:jc w:val="center"/>
                  </w:pPr>
                  <w:r>
                    <w:t xml:space="preserve">Cuspidothrix</w:t>
                  </w:r>
                </w:p>
              </w:tc>
              <w:tc>
                <w:tcPr/>
                <w:p>
                  <w:pPr>
                    <w:pStyle w:val="Compact"/>
                    <w:jc w:val="right"/>
                    <w:jc w:val="center"/>
                  </w:pPr>
                  <w:r>
                    <w:t xml:space="preserve">23613.6</w:t>
                  </w:r>
                </w:p>
              </w:tc>
              <w:tc>
                <w:tcPr/>
                <w:p>
                  <w:pPr>
                    <w:pStyle w:val="Compact"/>
                    <w:jc w:val="right"/>
                    <w:jc w:val="center"/>
                  </w:pPr>
                  <w:r>
                    <w:t xml:space="preserve">0.00163</w:t>
                  </w:r>
                </w:p>
              </w:tc>
            </w:tr>
            <w:tr>
              <w:tc>
                <w:tcPr/>
                <w:p>
                  <w:pPr>
                    <w:pStyle w:val="Compact"/>
                    <w:jc w:val="left"/>
                    <w:jc w:val="center"/>
                  </w:pPr>
                  <w:r>
                    <w:t xml:space="preserve">Warwick Pond</w:t>
                  </w:r>
                </w:p>
              </w:tc>
              <w:tc>
                <w:tcPr/>
                <w:p>
                  <w:pPr>
                    <w:pStyle w:val="Compact"/>
                    <w:jc w:val="left"/>
                    <w:jc w:val="center"/>
                  </w:pPr>
                  <w:r>
                    <w:t xml:space="preserve">Planktolyngbya</w:t>
                  </w:r>
                </w:p>
              </w:tc>
              <w:tc>
                <w:tcPr/>
                <w:p>
                  <w:pPr>
                    <w:pStyle w:val="Compact"/>
                    <w:jc w:val="right"/>
                    <w:jc w:val="center"/>
                  </w:pPr>
                  <w:r>
                    <w:t xml:space="preserve">12824.3</w:t>
                  </w:r>
                </w:p>
              </w:tc>
              <w:tc>
                <w:tcPr/>
                <w:p>
                  <w:pPr>
                    <w:pStyle w:val="Compact"/>
                    <w:jc w:val="right"/>
                    <w:jc w:val="center"/>
                  </w:pPr>
                  <w:r>
                    <w:t xml:space="preserve">0.00088</w:t>
                  </w:r>
                </w:p>
              </w:tc>
            </w:tr>
            <w:tr>
              <w:tc>
                <w:tcPr/>
                <w:p>
                  <w:pPr>
                    <w:pStyle w:val="Compact"/>
                    <w:jc w:val="left"/>
                    <w:jc w:val="center"/>
                  </w:pPr>
                  <w:r>
                    <w:t xml:space="preserve">Warwick Pond</w:t>
                  </w:r>
                </w:p>
              </w:tc>
              <w:tc>
                <w:tcPr/>
                <w:p>
                  <w:pPr>
                    <w:pStyle w:val="Compact"/>
                    <w:jc w:val="left"/>
                    <w:jc w:val="center"/>
                  </w:pPr>
                  <w:r>
                    <w:t xml:space="preserve">Unknwon Chroococcaceae</w:t>
                  </w:r>
                </w:p>
              </w:tc>
              <w:tc>
                <w:tcPr/>
                <w:p>
                  <w:pPr>
                    <w:pStyle w:val="Compact"/>
                    <w:jc w:val="right"/>
                    <w:jc w:val="center"/>
                  </w:pPr>
                  <w:r>
                    <w:t xml:space="preserve">7353.0</w:t>
                  </w:r>
                </w:p>
              </w:tc>
              <w:tc>
                <w:tcPr/>
                <w:p>
                  <w:pPr>
                    <w:pStyle w:val="Compact"/>
                    <w:jc w:val="right"/>
                    <w:jc w:val="center"/>
                  </w:pPr>
                  <w:r>
                    <w:t xml:space="preserve">0.00051</w:t>
                  </w:r>
                </w:p>
              </w:tc>
            </w:tr>
            <w:tr>
              <w:tc>
                <w:tcPr/>
                <w:p>
                  <w:pPr>
                    <w:pStyle w:val="Compact"/>
                    <w:jc w:val="left"/>
                    <w:jc w:val="center"/>
                  </w:pPr>
                  <w:r>
                    <w:t xml:space="preserve">Warwick Pond</w:t>
                  </w:r>
                </w:p>
              </w:tc>
              <w:tc>
                <w:tcPr/>
                <w:p>
                  <w:pPr>
                    <w:pStyle w:val="Compact"/>
                    <w:jc w:val="left"/>
                    <w:jc w:val="center"/>
                  </w:pPr>
                  <w:r>
                    <w:t xml:space="preserve">Synechococcus</w:t>
                  </w:r>
                </w:p>
              </w:tc>
              <w:tc>
                <w:tcPr/>
                <w:p>
                  <w:pPr>
                    <w:pStyle w:val="Compact"/>
                    <w:jc w:val="right"/>
                    <w:jc w:val="center"/>
                  </w:pPr>
                  <w:r>
                    <w:t xml:space="preserve">5450.1</w:t>
                  </w:r>
                </w:p>
              </w:tc>
              <w:tc>
                <w:tcPr/>
                <w:p>
                  <w:pPr>
                    <w:pStyle w:val="Compact"/>
                    <w:jc w:val="right"/>
                    <w:jc w:val="center"/>
                  </w:pPr>
                  <w:r>
                    <w:t xml:space="preserve">0.00038</w:t>
                  </w:r>
                </w:p>
              </w:tc>
            </w:tr>
            <w:tr>
              <w:tc>
                <w:tcPr/>
                <w:p>
                  <w:pPr>
                    <w:pStyle w:val="Compact"/>
                    <w:jc w:val="left"/>
                    <w:jc w:val="center"/>
                  </w:pPr>
                  <w:r>
                    <w:t xml:space="preserve">Warwick Pond</w:t>
                  </w:r>
                </w:p>
              </w:tc>
              <w:tc>
                <w:tcPr/>
                <w:p>
                  <w:pPr>
                    <w:pStyle w:val="Compact"/>
                    <w:jc w:val="left"/>
                    <w:jc w:val="center"/>
                  </w:pPr>
                  <w:r>
                    <w:t xml:space="preserve">Cyanogranis</w:t>
                  </w:r>
                </w:p>
              </w:tc>
              <w:tc>
                <w:tcPr/>
                <w:p>
                  <w:pPr>
                    <w:pStyle w:val="Compact"/>
                    <w:jc w:val="right"/>
                    <w:jc w:val="center"/>
                  </w:pPr>
                  <w:r>
                    <w:t xml:space="preserve">3184.2</w:t>
                  </w:r>
                </w:p>
              </w:tc>
              <w:tc>
                <w:tcPr/>
                <w:p>
                  <w:pPr>
                    <w:pStyle w:val="Compact"/>
                    <w:jc w:val="right"/>
                    <w:jc w:val="center"/>
                  </w:pPr>
                  <w:r>
                    <w:t xml:space="preserve">0.00022</w:t>
                  </w:r>
                </w:p>
              </w:tc>
            </w:tr>
            <w:tr>
              <w:tc>
                <w:tcPr/>
                <w:p>
                  <w:pPr>
                    <w:pStyle w:val="Compact"/>
                    <w:jc w:val="left"/>
                    <w:jc w:val="center"/>
                  </w:pPr>
                  <w:r>
                    <w:t xml:space="preserve">Warwick Pond</w:t>
                  </w:r>
                </w:p>
              </w:tc>
              <w:tc>
                <w:tcPr/>
                <w:p>
                  <w:pPr>
                    <w:pStyle w:val="Compact"/>
                    <w:jc w:val="left"/>
                    <w:jc w:val="center"/>
                  </w:pPr>
                  <w:r>
                    <w:t xml:space="preserve">Jaaginema</w:t>
                  </w:r>
                </w:p>
              </w:tc>
              <w:tc>
                <w:tcPr/>
                <w:p>
                  <w:pPr>
                    <w:pStyle w:val="Compact"/>
                    <w:jc w:val="right"/>
                    <w:jc w:val="center"/>
                  </w:pPr>
                  <w:r>
                    <w:t xml:space="preserve">2261.6</w:t>
                  </w:r>
                </w:p>
              </w:tc>
              <w:tc>
                <w:tcPr/>
                <w:p>
                  <w:pPr>
                    <w:pStyle w:val="Compact"/>
                    <w:jc w:val="right"/>
                    <w:jc w:val="center"/>
                  </w:pPr>
                  <w:r>
                    <w:t xml:space="preserve">0.00016</w:t>
                  </w:r>
                </w:p>
              </w:tc>
            </w:tr>
            <w:tr>
              <w:tc>
                <w:tcPr/>
                <w:p>
                  <w:pPr>
                    <w:pStyle w:val="Compact"/>
                    <w:jc w:val="left"/>
                    <w:jc w:val="center"/>
                  </w:pPr>
                  <w:r>
                    <w:t xml:space="preserve">Warwick Pond</w:t>
                  </w:r>
                </w:p>
              </w:tc>
              <w:tc>
                <w:tcPr/>
                <w:p>
                  <w:pPr>
                    <w:pStyle w:val="Compact"/>
                    <w:jc w:val="left"/>
                    <w:jc w:val="center"/>
                  </w:pPr>
                  <w:r>
                    <w:t xml:space="preserve">Synechocystis</w:t>
                  </w:r>
                </w:p>
              </w:tc>
              <w:tc>
                <w:tcPr/>
                <w:p>
                  <w:pPr>
                    <w:pStyle w:val="Compact"/>
                    <w:jc w:val="right"/>
                    <w:jc w:val="center"/>
                  </w:pPr>
                  <w:r>
                    <w:t xml:space="preserve">2236.2</w:t>
                  </w:r>
                </w:p>
              </w:tc>
              <w:tc>
                <w:tcPr/>
                <w:p>
                  <w:pPr>
                    <w:pStyle w:val="Compact"/>
                    <w:jc w:val="right"/>
                    <w:jc w:val="center"/>
                  </w:pPr>
                  <w:r>
                    <w:t xml:space="preserve">0.00015</w:t>
                  </w:r>
                </w:p>
              </w:tc>
            </w:tr>
            <w:tr>
              <w:tc>
                <w:tcPr/>
                <w:p>
                  <w:pPr>
                    <w:pStyle w:val="Compact"/>
                    <w:jc w:val="left"/>
                    <w:jc w:val="center"/>
                  </w:pPr>
                  <w:r>
                    <w:t xml:space="preserve">Warwick Pond</w:t>
                  </w:r>
                </w:p>
              </w:tc>
              <w:tc>
                <w:tcPr/>
                <w:p>
                  <w:pPr>
                    <w:pStyle w:val="Compact"/>
                    <w:jc w:val="left"/>
                    <w:jc w:val="center"/>
                  </w:pPr>
                  <w:r>
                    <w:t xml:space="preserve">Dactylococcopsis</w:t>
                  </w:r>
                </w:p>
              </w:tc>
              <w:tc>
                <w:tcPr/>
                <w:p>
                  <w:pPr>
                    <w:pStyle w:val="Compact"/>
                    <w:jc w:val="right"/>
                    <w:jc w:val="center"/>
                  </w:pPr>
                  <w:r>
                    <w:t xml:space="preserve">472.3</w:t>
                  </w:r>
                </w:p>
              </w:tc>
              <w:tc>
                <w:tcPr/>
                <w:p>
                  <w:pPr>
                    <w:pStyle w:val="Compact"/>
                    <w:jc w:val="right"/>
                    <w:jc w:val="center"/>
                  </w:pPr>
                  <w:r>
                    <w:t xml:space="preserve">0.00003</w:t>
                  </w:r>
                </w:p>
              </w:tc>
            </w:tr>
            <w:tr>
              <w:tc>
                <w:tcPr/>
                <w:p>
                  <w:pPr>
                    <w:pStyle w:val="Compact"/>
                    <w:jc w:val="left"/>
                    <w:jc w:val="center"/>
                  </w:pPr>
                  <w:r>
                    <w:t xml:space="preserve">Yawgoo</w:t>
                  </w:r>
                </w:p>
              </w:tc>
              <w:tc>
                <w:tcPr/>
                <w:p>
                  <w:pPr>
                    <w:pStyle w:val="Compact"/>
                    <w:jc w:val="left"/>
                    <w:jc w:val="center"/>
                  </w:pPr>
                  <w:r>
                    <w:t xml:space="preserve">Synechocystis</w:t>
                  </w:r>
                </w:p>
              </w:tc>
              <w:tc>
                <w:tcPr/>
                <w:p>
                  <w:pPr>
                    <w:pStyle w:val="Compact"/>
                    <w:jc w:val="right"/>
                    <w:jc w:val="center"/>
                  </w:pPr>
                  <w:r>
                    <w:t xml:space="preserve">21149.7</w:t>
                  </w:r>
                </w:p>
              </w:tc>
              <w:tc>
                <w:tcPr/>
                <w:p>
                  <w:pPr>
                    <w:pStyle w:val="Compact"/>
                    <w:jc w:val="right"/>
                    <w:jc w:val="center"/>
                  </w:pPr>
                  <w:r>
                    <w:t xml:space="preserve">0.17363</w:t>
                  </w:r>
                </w:p>
              </w:tc>
            </w:tr>
            <w:tr>
              <w:tc>
                <w:tcPr/>
                <w:p>
                  <w:pPr>
                    <w:pStyle w:val="Compact"/>
                    <w:jc w:val="left"/>
                    <w:jc w:val="center"/>
                  </w:pPr>
                  <w:r>
                    <w:t xml:space="preserve">Yawgoo</w:t>
                  </w:r>
                </w:p>
              </w:tc>
              <w:tc>
                <w:tcPr/>
                <w:p>
                  <w:pPr>
                    <w:pStyle w:val="Compact"/>
                    <w:jc w:val="left"/>
                    <w:jc w:val="center"/>
                  </w:pPr>
                  <w:r>
                    <w:t xml:space="preserve">Woronichinia</w:t>
                  </w:r>
                </w:p>
              </w:tc>
              <w:tc>
                <w:tcPr/>
                <w:p>
                  <w:pPr>
                    <w:pStyle w:val="Compact"/>
                    <w:jc w:val="right"/>
                    <w:jc w:val="center"/>
                  </w:pPr>
                  <w:r>
                    <w:t xml:space="preserve">17781.4</w:t>
                  </w:r>
                </w:p>
              </w:tc>
              <w:tc>
                <w:tcPr/>
                <w:p>
                  <w:pPr>
                    <w:pStyle w:val="Compact"/>
                    <w:jc w:val="right"/>
                    <w:jc w:val="center"/>
                  </w:pPr>
                  <w:r>
                    <w:t xml:space="preserve">0.14598</w:t>
                  </w:r>
                </w:p>
              </w:tc>
            </w:tr>
            <w:tr>
              <w:tc>
                <w:tcPr/>
                <w:p>
                  <w:pPr>
                    <w:pStyle w:val="Compact"/>
                    <w:jc w:val="left"/>
                    <w:jc w:val="center"/>
                  </w:pPr>
                  <w:r>
                    <w:t xml:space="preserve">Yawgoo</w:t>
                  </w:r>
                </w:p>
              </w:tc>
              <w:tc>
                <w:tcPr/>
                <w:p>
                  <w:pPr>
                    <w:pStyle w:val="Compact"/>
                    <w:jc w:val="left"/>
                    <w:jc w:val="center"/>
                  </w:pPr>
                  <w:r>
                    <w:t xml:space="preserve">Unknwon Chroococcaceae</w:t>
                  </w:r>
                </w:p>
              </w:tc>
              <w:tc>
                <w:tcPr/>
                <w:p>
                  <w:pPr>
                    <w:pStyle w:val="Compact"/>
                    <w:jc w:val="right"/>
                    <w:jc w:val="center"/>
                  </w:pPr>
                  <w:r>
                    <w:t xml:space="preserve">2964.0</w:t>
                  </w:r>
                </w:p>
              </w:tc>
              <w:tc>
                <w:tcPr/>
                <w:p>
                  <w:pPr>
                    <w:pStyle w:val="Compact"/>
                    <w:jc w:val="right"/>
                    <w:jc w:val="center"/>
                  </w:pPr>
                  <w:r>
                    <w:t xml:space="preserve">0.02433</w:t>
                  </w:r>
                </w:p>
              </w:tc>
            </w:tr>
            <w:tr>
              <w:tc>
                <w:tcPr/>
                <w:p>
                  <w:pPr>
                    <w:pStyle w:val="Compact"/>
                    <w:jc w:val="left"/>
                    <w:jc w:val="center"/>
                  </w:pPr>
                  <w:r>
                    <w:t xml:space="preserve">Yawgoo</w:t>
                  </w:r>
                </w:p>
              </w:tc>
              <w:tc>
                <w:tcPr/>
                <w:p>
                  <w:pPr>
                    <w:pStyle w:val="Compact"/>
                    <w:jc w:val="left"/>
                    <w:jc w:val="center"/>
                  </w:pPr>
                  <w:r>
                    <w:t xml:space="preserve">Synechococcus</w:t>
                  </w:r>
                </w:p>
              </w:tc>
              <w:tc>
                <w:tcPr/>
                <w:p>
                  <w:pPr>
                    <w:pStyle w:val="Compact"/>
                    <w:jc w:val="right"/>
                    <w:jc w:val="center"/>
                  </w:pPr>
                  <w:r>
                    <w:t xml:space="preserve">2276.2</w:t>
                  </w:r>
                </w:p>
              </w:tc>
              <w:tc>
                <w:tcPr/>
                <w:p>
                  <w:pPr>
                    <w:pStyle w:val="Compact"/>
                    <w:jc w:val="right"/>
                    <w:jc w:val="center"/>
                  </w:pPr>
                  <w:r>
                    <w:t xml:space="preserve">0.01869</w:t>
                  </w:r>
                </w:p>
              </w:tc>
            </w:tr>
            <w:tr>
              <w:tc>
                <w:tcPr/>
                <w:p>
                  <w:pPr>
                    <w:pStyle w:val="Compact"/>
                    <w:jc w:val="left"/>
                    <w:jc w:val="center"/>
                  </w:pPr>
                  <w:r>
                    <w:t xml:space="preserve">Yawgoo</w:t>
                  </w:r>
                </w:p>
              </w:tc>
              <w:tc>
                <w:tcPr/>
                <w:p>
                  <w:pPr>
                    <w:pStyle w:val="Compact"/>
                    <w:jc w:val="left"/>
                    <w:jc w:val="center"/>
                  </w:pPr>
                  <w:r>
                    <w:t xml:space="preserve">Aphanothece</w:t>
                  </w:r>
                </w:p>
              </w:tc>
              <w:tc>
                <w:tcPr/>
                <w:p>
                  <w:pPr>
                    <w:pStyle w:val="Compact"/>
                    <w:jc w:val="right"/>
                    <w:jc w:val="center"/>
                  </w:pPr>
                  <w:r>
                    <w:t xml:space="preserve">131.5</w:t>
                  </w:r>
                </w:p>
              </w:tc>
              <w:tc>
                <w:tcPr/>
                <w:p>
                  <w:pPr>
                    <w:pStyle w:val="Compact"/>
                    <w:jc w:val="right"/>
                    <w:jc w:val="center"/>
                  </w:pPr>
                  <w:r>
                    <w:t xml:space="preserve">0.00108</w:t>
                  </w:r>
                </w:p>
              </w:tc>
            </w:tr>
          </w:tbl>
          <w:bookmarkEnd w:id="59"/>
          <w:p/>
        </w:tc>
      </w:tr>
    </w:tbl>
    <w:bookmarkEnd w:id="60"/>
    <w:bookmarkStart w:id="82" w:name="references"/>
    <w:p>
      <w:pPr>
        <w:pStyle w:val="Heading1"/>
      </w:pPr>
      <w:r>
        <w:t xml:space="preserve">References</w:t>
      </w:r>
    </w:p>
    <w:bookmarkStart w:id="81" w:name="refs"/>
    <w:bookmarkStart w:id="62" w:name="ref-beutler_fluorometric_2002"/>
    <w:p>
      <w:pPr>
        <w:pStyle w:val="Bibliography"/>
      </w:pPr>
      <w:r>
        <w:t xml:space="preserve">Beutler, M., K. H. Wiltshire, B. Meyer, C. Moldaenke, C. Lüring, M. Meyerhöfer, U.-P. Hansen, and H. Dau. 2002.</w:t>
      </w:r>
      <w:r>
        <w:t xml:space="preserve"> </w:t>
      </w:r>
      <w:r>
        <w:t xml:space="preserve">“A Fluorometric Method for the Differentiation of Algal Populations in Vivo and in Situ.”</w:t>
      </w:r>
      <w:r>
        <w:t xml:space="preserve"> </w:t>
      </w:r>
      <w:r>
        <w:rPr>
          <w:iCs/>
          <w:i/>
        </w:rPr>
        <w:t xml:space="preserve">Photosynthesis Research</w:t>
      </w:r>
      <w:r>
        <w:t xml:space="preserve"> </w:t>
      </w:r>
      <w:r>
        <w:t xml:space="preserve">72 (1): 39–53.</w:t>
      </w:r>
      <w:r>
        <w:t xml:space="preserve"> </w:t>
      </w:r>
      <w:hyperlink r:id="rId61">
        <w:r>
          <w:rPr>
            <w:rStyle w:val="Hyperlink"/>
          </w:rPr>
          <w:t xml:space="preserve">https://doi.org/10.1023/A:1016026607048</w:t>
        </w:r>
      </w:hyperlink>
      <w:r>
        <w:t xml:space="preserve">.</w:t>
      </w:r>
    </w:p>
    <w:bookmarkEnd w:id="62"/>
    <w:bookmarkStart w:id="64"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3">
        <w:r>
          <w:rPr>
            <w:rStyle w:val="Hyperlink"/>
          </w:rPr>
          <w:t xml:space="preserve">https://doi.org/10.1016/j.hal.2018.02.001</w:t>
        </w:r>
      </w:hyperlink>
      <w:r>
        <w:t xml:space="preserve">.</w:t>
      </w:r>
    </w:p>
    <w:bookmarkEnd w:id="64"/>
    <w:bookmarkStart w:id="66" w:name="ref-cremella_interpretation_2018"/>
    <w:p>
      <w:pPr>
        <w:pStyle w:val="Bibliography"/>
      </w:pPr>
      <w:r>
        <w:t xml:space="preserve">Cremella, Bruno, Yannick Huot, and Sylvia Bonilla. 2018.</w:t>
      </w:r>
      <w:r>
        <w:t xml:space="preserve"> </w:t>
      </w:r>
      <w:r>
        <w:t xml:space="preserve">“Interpretation of Total Phytoplankton and Cyanobacteria Fluorescence from Cross‐calibrated Fluorometers, Including Sensitivity to Turbidity and Colored Dissolved Organic Matter.”</w:t>
      </w:r>
      <w:r>
        <w:t xml:space="preserve"> </w:t>
      </w:r>
      <w:r>
        <w:rPr>
          <w:iCs/>
          <w:i/>
        </w:rPr>
        <w:t xml:space="preserve">Limnology and Oceanography: Methods</w:t>
      </w:r>
      <w:r>
        <w:t xml:space="preserve"> </w:t>
      </w:r>
      <w:r>
        <w:t xml:space="preserve">16 (12): 881–94.</w:t>
      </w:r>
      <w:r>
        <w:t xml:space="preserve"> </w:t>
      </w:r>
      <w:hyperlink r:id="rId65">
        <w:r>
          <w:rPr>
            <w:rStyle w:val="Hyperlink"/>
          </w:rPr>
          <w:t xml:space="preserve">https://doi.org/10.1002/lom3.10290</w:t>
        </w:r>
      </w:hyperlink>
      <w:r>
        <w:t xml:space="preserve">.</w:t>
      </w:r>
    </w:p>
    <w:bookmarkEnd w:id="66"/>
    <w:bookmarkStart w:id="68"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67">
        <w:r>
          <w:rPr>
            <w:rStyle w:val="Hyperlink"/>
          </w:rPr>
          <w:t xml:space="preserve">https://doi.org/10.1016/j.hal.2016.01.010</w:t>
        </w:r>
      </w:hyperlink>
      <w:r>
        <w:t xml:space="preserve">.</w:t>
      </w:r>
    </w:p>
    <w:bookmarkEnd w:id="68"/>
    <w:bookmarkStart w:id="70" w:name="ref-liu_chlorophyll_2021"/>
    <w:p>
      <w:pPr>
        <w:pStyle w:val="Bibliography"/>
      </w:pPr>
      <w:r>
        <w:t xml:space="preserve">Liu, Xiaofeng, and Aris P. Georgakakos. 2021.</w:t>
      </w:r>
      <w:r>
        <w:t xml:space="preserve"> </w:t>
      </w:r>
      <w:r>
        <w:t xml:space="preserve">“Chlorophyll a Estimation in Lakes Using Multi-Parameter Sonde Data.”</w:t>
      </w:r>
      <w:r>
        <w:t xml:space="preserve"> </w:t>
      </w:r>
      <w:r>
        <w:rPr>
          <w:iCs/>
          <w:i/>
        </w:rPr>
        <w:t xml:space="preserve">Water Research</w:t>
      </w:r>
      <w:r>
        <w:t xml:space="preserve"> </w:t>
      </w:r>
      <w:r>
        <w:t xml:space="preserve">205 (October): 117661.</w:t>
      </w:r>
      <w:r>
        <w:t xml:space="preserve"> </w:t>
      </w:r>
      <w:hyperlink r:id="rId69">
        <w:r>
          <w:rPr>
            <w:rStyle w:val="Hyperlink"/>
          </w:rPr>
          <w:t xml:space="preserve">https://doi.org/10.1016/j.watres.2021.117661</w:t>
        </w:r>
      </w:hyperlink>
      <w:r>
        <w:t xml:space="preserve">.</w:t>
      </w:r>
    </w:p>
    <w:bookmarkEnd w:id="70"/>
    <w:bookmarkStart w:id="72" w:name="ref-paerl_it_2016"/>
    <w:p>
      <w:pPr>
        <w:pStyle w:val="Bibliography"/>
      </w:pPr>
      <w:r>
        <w:t xml:space="preserve">Paerl, Hans W., J. Thad Scott, Mark J. McCarthy, Silvia E. Newell, Wayne S. Gardner, Karl E. Havens, Daniel K. Hoffman, Steven W. Wilhelm, and Wayne A. Wurtsbaugh. 2016.</w:t>
      </w:r>
      <w:r>
        <w:t xml:space="preserve"> </w:t>
      </w:r>
      <w:r>
        <w:t xml:space="preserve">“It</w:t>
      </w:r>
      <w:r>
        <w:t xml:space="preserve"> </w:t>
      </w:r>
      <w:r>
        <w:t xml:space="preserve">Takes</w:t>
      </w:r>
      <w:r>
        <w:t xml:space="preserve"> </w:t>
      </w:r>
      <w:r>
        <w:t xml:space="preserve">Two</w:t>
      </w:r>
      <w:r>
        <w:t xml:space="preserve"> </w:t>
      </w:r>
      <w:r>
        <w:t xml:space="preserve">to</w:t>
      </w:r>
      <w:r>
        <w:t xml:space="preserve"> </w:t>
      </w:r>
      <w:r>
        <w:t xml:space="preserve">Tango</w:t>
      </w:r>
      <w:r>
        <w:t xml:space="preserve">:</w:t>
      </w:r>
      <w:r>
        <w:t xml:space="preserve"> </w:t>
      </w:r>
      <w:r>
        <w:t xml:space="preserve">When</w:t>
      </w:r>
      <w:r>
        <w:t xml:space="preserve"> </w:t>
      </w:r>
      <w:r>
        <w:t xml:space="preserve">and</w:t>
      </w:r>
      <w:r>
        <w:t xml:space="preserve"> </w:t>
      </w:r>
      <w:r>
        <w:t xml:space="preserve">Where</w:t>
      </w:r>
      <w:r>
        <w:t xml:space="preserve"> </w:t>
      </w:r>
      <w:r>
        <w:t xml:space="preserve">Dual</w:t>
      </w:r>
      <w:r>
        <w:t xml:space="preserve"> </w:t>
      </w:r>
      <w:r>
        <w:t xml:space="preserve">Nutrient</w:t>
      </w:r>
      <w:r>
        <w:t xml:space="preserve"> </w:t>
      </w:r>
      <w:r>
        <w:t xml:space="preserve">(</w:t>
      </w:r>
      <w:r>
        <w:t xml:space="preserve">N</w:t>
      </w:r>
      <w:r>
        <w:t xml:space="preserve"> </w:t>
      </w:r>
      <w:r>
        <w:t xml:space="preserve">&amp;</w:t>
      </w:r>
      <w:r>
        <w:t xml:space="preserve"> </w:t>
      </w:r>
      <w:r>
        <w:t xml:space="preserve">P</w:t>
      </w:r>
      <w:r>
        <w:t xml:space="preserve">)</w:t>
      </w:r>
      <w:r>
        <w:t xml:space="preserve"> </w:t>
      </w:r>
      <w:r>
        <w:t xml:space="preserve">Reductions</w:t>
      </w:r>
      <w:r>
        <w:t xml:space="preserve"> </w:t>
      </w:r>
      <w:r>
        <w:t xml:space="preserve">Are</w:t>
      </w:r>
      <w:r>
        <w:t xml:space="preserve"> </w:t>
      </w:r>
      <w:r>
        <w:t xml:space="preserve">Needed</w:t>
      </w:r>
      <w:r>
        <w:t xml:space="preserve"> </w:t>
      </w:r>
      <w:r>
        <w:t xml:space="preserve">to</w:t>
      </w:r>
      <w:r>
        <w:t xml:space="preserve"> </w:t>
      </w:r>
      <w:r>
        <w:t xml:space="preserve">Protect</w:t>
      </w:r>
      <w:r>
        <w:t xml:space="preserve"> </w:t>
      </w:r>
      <w:r>
        <w:t xml:space="preserve">Lakes</w:t>
      </w:r>
      <w:r>
        <w:t xml:space="preserve"> </w:t>
      </w:r>
      <w:r>
        <w:t xml:space="preserve">and</w:t>
      </w:r>
      <w:r>
        <w:t xml:space="preserve"> </w:t>
      </w:r>
      <w:r>
        <w:t xml:space="preserve">Downstream</w:t>
      </w:r>
      <w:r>
        <w:t xml:space="preserve"> </w:t>
      </w:r>
      <w:r>
        <w:t xml:space="preserve">Ecosystems</w:t>
      </w:r>
      <w:r>
        <w:t xml:space="preserve">.”</w:t>
      </w:r>
      <w:r>
        <w:t xml:space="preserve"> </w:t>
      </w:r>
      <w:r>
        <w:rPr>
          <w:iCs/>
          <w:i/>
        </w:rPr>
        <w:t xml:space="preserve">Environmental Science &amp; Technology</w:t>
      </w:r>
      <w:r>
        <w:t xml:space="preserve"> </w:t>
      </w:r>
      <w:r>
        <w:t xml:space="preserve">50 (20): 10805–13.</w:t>
      </w:r>
      <w:r>
        <w:t xml:space="preserve"> </w:t>
      </w:r>
      <w:hyperlink r:id="rId71">
        <w:r>
          <w:rPr>
            <w:rStyle w:val="Hyperlink"/>
          </w:rPr>
          <w:t xml:space="preserve">https://doi.org/10.1021/acs.est.6b02575</w:t>
        </w:r>
      </w:hyperlink>
      <w:r>
        <w:t xml:space="preserve">.</w:t>
      </w:r>
    </w:p>
    <w:bookmarkEnd w:id="72"/>
    <w:bookmarkStart w:id="74" w:name="ref-rousso_chlorophyll_2022"/>
    <w:p>
      <w:pPr>
        <w:pStyle w:val="Bibliography"/>
      </w:pPr>
      <w:r>
        <w:t xml:space="preserve">Rousso, Benny Zuse, Edoardo Bertone, Rodney Stewart, Arthur Aguiar, Ann Chuang, David P. Hamilton, and Michele A. Burford. 2022.</w:t>
      </w:r>
      <w:r>
        <w:t xml:space="preserve"> </w:t>
      </w:r>
      <w:r>
        <w:t xml:space="preserve">“Chlorophyll and Phycocyanin in-Situ Fluorescence in Mixed Cyanobacterial Species Assemblages:</w:t>
      </w:r>
      <w:r>
        <w:t xml:space="preserve"> </w:t>
      </w:r>
      <w:r>
        <w:t xml:space="preserve">Effects</w:t>
      </w:r>
      <w:r>
        <w:t xml:space="preserve"> </w:t>
      </w:r>
      <w:r>
        <w:t xml:space="preserve">of Morphology, Cell Size and Growth Phase.”</w:t>
      </w:r>
      <w:r>
        <w:t xml:space="preserve"> </w:t>
      </w:r>
      <w:r>
        <w:rPr>
          <w:iCs/>
          <w:i/>
        </w:rPr>
        <w:t xml:space="preserve">Water Research</w:t>
      </w:r>
      <w:r>
        <w:t xml:space="preserve"> </w:t>
      </w:r>
      <w:r>
        <w:t xml:space="preserve">212 (April): 118127.</w:t>
      </w:r>
      <w:r>
        <w:t xml:space="preserve"> </w:t>
      </w:r>
      <w:hyperlink r:id="rId73">
        <w:r>
          <w:rPr>
            <w:rStyle w:val="Hyperlink"/>
          </w:rPr>
          <w:t xml:space="preserve">https://doi.org/10.1016/j.watres.2022.118127</w:t>
        </w:r>
      </w:hyperlink>
      <w:r>
        <w:t xml:space="preserve">.</w:t>
      </w:r>
    </w:p>
    <w:bookmarkEnd w:id="74"/>
    <w:bookmarkStart w:id="76" w:name="ref-schindler_eutrophication_2008"/>
    <w:p>
      <w:pPr>
        <w:pStyle w:val="Bibliography"/>
      </w:pPr>
      <w:r>
        <w:t xml:space="preserve">Schindler, David W., R. E. Hecky, D. L. Findlay, M. P. Stainton, B. R. Parker, M. J. Paterson, K. G. Beaty, M. Lyng, and S. E. M. Kasian. 2008.</w:t>
      </w:r>
      <w:r>
        <w:t xml:space="preserve"> </w:t>
      </w:r>
      <w:r>
        <w:t xml:space="preserve">“Eutrophication of Lakes Cannot Be Controlled by Reducing Nitrogen Input:</w:t>
      </w:r>
      <w:r>
        <w:t xml:space="preserve"> </w:t>
      </w:r>
      <w:r>
        <w:t xml:space="preserve">Results</w:t>
      </w:r>
      <w:r>
        <w:t xml:space="preserve"> </w:t>
      </w:r>
      <w:r>
        <w:t xml:space="preserve">of a 37-Year Whole-Ecosystem Experiment.”</w:t>
      </w:r>
      <w:r>
        <w:t xml:space="preserve"> </w:t>
      </w:r>
      <w:r>
        <w:rPr>
          <w:iCs/>
          <w:i/>
        </w:rPr>
        <w:t xml:space="preserve">Proceedings of the National Academy of Sciences</w:t>
      </w:r>
      <w:r>
        <w:t xml:space="preserve"> </w:t>
      </w:r>
      <w:r>
        <w:t xml:space="preserve">105 (32): 11254–58.</w:t>
      </w:r>
      <w:r>
        <w:t xml:space="preserve"> </w:t>
      </w:r>
      <w:hyperlink r:id="rId75">
        <w:r>
          <w:rPr>
            <w:rStyle w:val="Hyperlink"/>
          </w:rPr>
          <w:t xml:space="preserve">https://doi.org/10.1073/pnas.0805108105</w:t>
        </w:r>
      </w:hyperlink>
      <w:r>
        <w:t xml:space="preserve">.</w:t>
      </w:r>
    </w:p>
    <w:bookmarkEnd w:id="76"/>
    <w:bookmarkStart w:id="78" w:name="ref-wynne_characterizing_2010"/>
    <w:p>
      <w:pPr>
        <w:pStyle w:val="Bibliography"/>
      </w:pPr>
      <w:r>
        <w:t xml:space="preserve">Wynne, Timothy T., Richard P. Stumpf, Michelle C. Tomlinson, and Julianne Dyble. 2010.</w:t>
      </w:r>
      <w:r>
        <w:t xml:space="preserve"> </w:t>
      </w:r>
      <w:r>
        <w:t xml:space="preserve">“Characterizing a Cyanobacterial Bloom in</w:t>
      </w:r>
      <w:r>
        <w:t xml:space="preserve"> </w:t>
      </w:r>
      <w:r>
        <w:t xml:space="preserve">Western</w:t>
      </w:r>
      <w:r>
        <w:t xml:space="preserve"> </w:t>
      </w:r>
      <w:r>
        <w:t xml:space="preserve">Lake</w:t>
      </w:r>
      <w:r>
        <w:t xml:space="preserve"> </w:t>
      </w:r>
      <w:r>
        <w:t xml:space="preserve">Erie</w:t>
      </w:r>
      <w:r>
        <w:t xml:space="preserve"> </w:t>
      </w:r>
      <w:r>
        <w:t xml:space="preserve">Using Satellite Imagery and Meteorological Data.”</w:t>
      </w:r>
      <w:r>
        <w:t xml:space="preserve"> </w:t>
      </w:r>
      <w:r>
        <w:rPr>
          <w:iCs/>
          <w:i/>
        </w:rPr>
        <w:t xml:space="preserve">Limnology and Oceanography</w:t>
      </w:r>
      <w:r>
        <w:t xml:space="preserve"> </w:t>
      </w:r>
      <w:r>
        <w:t xml:space="preserve">55 (5): 2025–36.</w:t>
      </w:r>
      <w:r>
        <w:t xml:space="preserve"> </w:t>
      </w:r>
      <w:hyperlink r:id="rId77">
        <w:r>
          <w:rPr>
            <w:rStyle w:val="Hyperlink"/>
          </w:rPr>
          <w:t xml:space="preserve">https://doi.org/10.4319/lo.2010.55.5.2025</w:t>
        </w:r>
      </w:hyperlink>
      <w:r>
        <w:t xml:space="preserve">.</w:t>
      </w:r>
    </w:p>
    <w:bookmarkEnd w:id="78"/>
    <w:bookmarkStart w:id="80" w:name="ref-zamyadi_monitoring_2012"/>
    <w:p>
      <w:pPr>
        <w:pStyle w:val="Bibliography"/>
      </w:pPr>
      <w:r>
        <w:t xml:space="preserve">Zamyadi, A., N. McQuaid, M. Prévost, and S. Dorner. 2012.</w:t>
      </w:r>
      <w:r>
        <w:t xml:space="preserve"> </w:t>
      </w:r>
      <w:r>
        <w:t xml:space="preserve">“Monitoring of Potentially Toxic Cyanobacteria Using an Online Multi-Probe in Drinking Water Sources.”</w:t>
      </w:r>
      <w:r>
        <w:t xml:space="preserve"> </w:t>
      </w:r>
      <w:r>
        <w:rPr>
          <w:iCs/>
          <w:i/>
        </w:rPr>
        <w:t xml:space="preserve">J. Environ. Monit.</w:t>
      </w:r>
      <w:r>
        <w:t xml:space="preserve"> </w:t>
      </w:r>
      <w:r>
        <w:t xml:space="preserve">14 (2): 579–88.</w:t>
      </w:r>
      <w:r>
        <w:t xml:space="preserve"> </w:t>
      </w:r>
      <w:hyperlink r:id="rId79">
        <w:r>
          <w:rPr>
            <w:rStyle w:val="Hyperlink"/>
          </w:rPr>
          <w:t xml:space="preserve">https://doi.org/10.1039/C1EM10819K</w:t>
        </w:r>
      </w:hyperlink>
      <w:r>
        <w:t xml:space="preserve">.</w:t>
      </w:r>
    </w:p>
    <w:bookmarkEnd w:id="80"/>
    <w:bookmarkEnd w:id="81"/>
    <w:bookmarkEnd w:id="82"/>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hyperlink" Id="rId65" Target="https://doi.org/10.1002/lom3.10290"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69" Target="https://doi.org/10.1016/j.watres.2021.117661" TargetMode="External" /><Relationship Type="http://schemas.openxmlformats.org/officeDocument/2006/relationships/hyperlink" Id="rId73" Target="https://doi.org/10.1016/j.watres.2022.118127" TargetMode="External" /><Relationship Type="http://schemas.openxmlformats.org/officeDocument/2006/relationships/hyperlink" Id="rId71"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79" Target="https://doi.org/10.1039/C1EM10819K" TargetMode="External" /><Relationship Type="http://schemas.openxmlformats.org/officeDocument/2006/relationships/hyperlink" Id="rId75" Target="https://doi.org/10.1073/pnas.0805108105" TargetMode="External" /><Relationship Type="http://schemas.openxmlformats.org/officeDocument/2006/relationships/hyperlink" Id="rId77" Target="https://doi.org/10.4319/lo.2010.55.5.2025"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lom3.10290"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69" Target="https://doi.org/10.1016/j.watres.2021.117661" TargetMode="External" /><Relationship Type="http://schemas.openxmlformats.org/officeDocument/2006/relationships/hyperlink" Id="rId73" Target="https://doi.org/10.1016/j.watres.2022.118127" TargetMode="External" /><Relationship Type="http://schemas.openxmlformats.org/officeDocument/2006/relationships/hyperlink" Id="rId71"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79" Target="https://doi.org/10.1039/C1EM10819K" TargetMode="External" /><Relationship Type="http://schemas.openxmlformats.org/officeDocument/2006/relationships/hyperlink" Id="rId75" Target="https://doi.org/10.1073/pnas.0805108105" TargetMode="External" /><Relationship Type="http://schemas.openxmlformats.org/officeDocument/2006/relationships/hyperlink" Id="rId77" Target="https://doi.org/10.4319/lo.2010.55.5.2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 in vivo vs extracted) for cyanoHAB monitoring in six Rhode Island ponds</dc:title>
  <dc:creator>Stephen D. Shivers; Jeffrey W. Hollister; Sophie Fournier; Jakob Stankoski; Betty J. Kreakie</dc:creator>
  <cp:keywords/>
  <dcterms:created xsi:type="dcterms:W3CDTF">2024-08-02T19:14:22Z</dcterms:created>
  <dcterms:modified xsi:type="dcterms:W3CDTF">2024-08-02T19:14:22Z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advanced laboratory processes (e.g., pigment extraction). We compared measurements from five in 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 vivo fluorometers (R2 ranging from 0.78-0.96). We found less consistency between in vivo measurements of chlorophyll a and the extracted results (R2 between 0.34 and 0.82). Some variability in the chlorophyll a results can be explained by differences in the phytoplankton community at the different sampling locations. Phycocyanin results from in 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 vivo fluorometry and phycocyanin for cyanoHAB monitoring efforts and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