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6BC5BD" w14:textId="21F95BCF" w:rsidR="008F2F4A" w:rsidRDefault="005D1214" w:rsidP="00BF69BB">
      <w:pPr>
        <w:pStyle w:val="Heading1"/>
        <w:spacing w:line="276" w:lineRule="auto"/>
        <w:jc w:val="center"/>
      </w:pPr>
      <w:bookmarkStart w:id="0" w:name="_MailOriginal"/>
      <w:r>
        <w:t>HTTK</w:t>
      </w:r>
      <w:r w:rsidR="008F2F4A">
        <w:t xml:space="preserve"> </w:t>
      </w:r>
      <w:r w:rsidR="00BF69BB">
        <w:t>Data Curation</w:t>
      </w:r>
      <w:r w:rsidR="008F2F4A">
        <w:t xml:space="preserve"> </w:t>
      </w:r>
      <w:r w:rsidR="00A8722B">
        <w:br/>
      </w:r>
      <w:r w:rsidR="008F2F4A">
        <w:t>Standard Operating Procedure</w:t>
      </w:r>
    </w:p>
    <w:p w14:paraId="2B9D2164" w14:textId="611E1850" w:rsidR="00EB23E6" w:rsidRDefault="005D1214" w:rsidP="00EB23E6">
      <w:pPr>
        <w:jc w:val="center"/>
        <w:rPr>
          <w:rFonts w:asciiTheme="minorHAnsi" w:hAnsiTheme="minorHAnsi" w:cstheme="minorHAnsi"/>
        </w:rPr>
      </w:pPr>
      <w:r>
        <w:rPr>
          <w:rFonts w:asciiTheme="minorHAnsi" w:hAnsiTheme="minorHAnsi" w:cstheme="minorHAnsi"/>
          <w:noProof/>
        </w:rPr>
        <w:drawing>
          <wp:inline distT="0" distB="0" distL="0" distR="0" wp14:anchorId="1B4C03C3" wp14:editId="7D52C308">
            <wp:extent cx="1862924" cy="1844706"/>
            <wp:effectExtent l="0" t="0" r="4445" b="3175"/>
            <wp:docPr id="381307813" name="Picture 3813078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09996" cy="1891318"/>
                    </a:xfrm>
                    <a:prstGeom prst="rect">
                      <a:avLst/>
                    </a:prstGeom>
                    <a:noFill/>
                  </pic:spPr>
                </pic:pic>
              </a:graphicData>
            </a:graphic>
          </wp:inline>
        </w:drawing>
      </w:r>
    </w:p>
    <w:p w14:paraId="2ACEC1BB" w14:textId="77777777" w:rsidR="00EB23E6" w:rsidRDefault="00EB23E6" w:rsidP="00EB23E6">
      <w:pPr>
        <w:rPr>
          <w:rFonts w:asciiTheme="minorHAnsi" w:hAnsiTheme="minorHAnsi" w:cstheme="minorHAnsi"/>
        </w:rPr>
      </w:pPr>
    </w:p>
    <w:p w14:paraId="47B73C8C" w14:textId="77777777" w:rsidR="00FA7BD7" w:rsidRDefault="00FA7BD7" w:rsidP="005D1214">
      <w:pPr>
        <w:rPr>
          <w:rFonts w:asciiTheme="minorHAnsi" w:hAnsiTheme="minorHAnsi" w:cstheme="minorHAnsi"/>
        </w:rPr>
      </w:pPr>
    </w:p>
    <w:p w14:paraId="5655E1B9" w14:textId="630A41BD" w:rsidR="00FA7BD7" w:rsidRDefault="00FA7BD7" w:rsidP="005D1214">
      <w:pPr>
        <w:rPr>
          <w:rFonts w:asciiTheme="minorHAnsi" w:hAnsiTheme="minorHAnsi" w:cstheme="minorHAnsi"/>
        </w:rPr>
      </w:pPr>
      <w:r>
        <w:rPr>
          <w:rFonts w:asciiTheme="minorHAnsi" w:hAnsiTheme="minorHAnsi" w:cstheme="minorHAnsi"/>
        </w:rPr>
        <w:t>Authors: John Wambaugh, Mark Sfeir, Marci Smeltz, Anna Kreutz, Barbara Wetmore</w:t>
      </w:r>
    </w:p>
    <w:p w14:paraId="11226BC3" w14:textId="77777777" w:rsidR="00FA7BD7" w:rsidRDefault="00FA7BD7" w:rsidP="005D1214">
      <w:pPr>
        <w:rPr>
          <w:rFonts w:asciiTheme="minorHAnsi" w:hAnsiTheme="minorHAnsi" w:cstheme="minorHAnsi"/>
        </w:rPr>
      </w:pPr>
    </w:p>
    <w:p w14:paraId="59A10BBA" w14:textId="37C163E7" w:rsidR="005D1214" w:rsidRPr="005D1214" w:rsidRDefault="005D1214" w:rsidP="005D1214">
      <w:pPr>
        <w:rPr>
          <w:rFonts w:asciiTheme="minorHAnsi" w:hAnsiTheme="minorHAnsi" w:cstheme="minorHAnsi"/>
        </w:rPr>
      </w:pPr>
      <w:r w:rsidRPr="005D1214">
        <w:rPr>
          <w:rFonts w:asciiTheme="minorHAnsi" w:hAnsiTheme="minorHAnsi" w:cstheme="minorHAnsi"/>
        </w:rPr>
        <w:t xml:space="preserve">In order to address greater numbers of chemicals we collect </w:t>
      </w:r>
      <w:r w:rsidRPr="005D1214">
        <w:rPr>
          <w:rFonts w:asciiTheme="minorHAnsi" w:hAnsiTheme="minorHAnsi" w:cstheme="minorHAnsi"/>
          <w:i/>
          <w:iCs/>
        </w:rPr>
        <w:t>in vitro</w:t>
      </w:r>
      <w:r w:rsidRPr="005D1214">
        <w:rPr>
          <w:rFonts w:asciiTheme="minorHAnsi" w:hAnsiTheme="minorHAnsi" w:cstheme="minorHAnsi"/>
        </w:rPr>
        <w:t>, high throughput toxicokinetic (HTTK) data</w:t>
      </w:r>
      <w:r>
        <w:rPr>
          <w:rFonts w:asciiTheme="minorHAnsi" w:hAnsiTheme="minorHAnsi" w:cstheme="minorHAnsi"/>
        </w:rPr>
        <w:t>.</w:t>
      </w:r>
      <w:r>
        <w:rPr>
          <w:rStyle w:val="FootnoteReference"/>
          <w:rFonts w:asciiTheme="minorHAnsi" w:hAnsiTheme="minorHAnsi" w:cstheme="minorHAnsi"/>
        </w:rPr>
        <w:footnoteReference w:id="1"/>
      </w:r>
      <w:r>
        <w:rPr>
          <w:rFonts w:asciiTheme="minorHAnsi" w:hAnsiTheme="minorHAnsi" w:cstheme="minorHAnsi"/>
        </w:rPr>
        <w:t xml:space="preserve"> </w:t>
      </w:r>
      <w:r w:rsidRPr="005D1214">
        <w:rPr>
          <w:rFonts w:asciiTheme="minorHAnsi" w:hAnsiTheme="minorHAnsi" w:cstheme="minorHAnsi"/>
        </w:rPr>
        <w:t>HTTK methods have been used by the pharmaceutical industry</w:t>
      </w:r>
      <w:r>
        <w:rPr>
          <w:rFonts w:asciiTheme="minorHAnsi" w:hAnsiTheme="minorHAnsi" w:cstheme="minorHAnsi"/>
        </w:rPr>
        <w:t xml:space="preserve"> </w:t>
      </w:r>
      <w:r w:rsidRPr="005D1214">
        <w:rPr>
          <w:rFonts w:asciiTheme="minorHAnsi" w:hAnsiTheme="minorHAnsi" w:cstheme="minorHAnsi"/>
        </w:rPr>
        <w:t>to determine range of efficacious doses and to prospectively evaluate success of planned clinical trials</w:t>
      </w:r>
      <w:r>
        <w:rPr>
          <w:rFonts w:asciiTheme="minorHAnsi" w:hAnsiTheme="minorHAnsi" w:cstheme="minorHAnsi"/>
        </w:rPr>
        <w:t>.</w:t>
      </w:r>
      <w:r>
        <w:rPr>
          <w:rStyle w:val="FootnoteReference"/>
          <w:rFonts w:asciiTheme="minorHAnsi" w:hAnsiTheme="minorHAnsi" w:cstheme="minorHAnsi"/>
        </w:rPr>
        <w:footnoteReference w:id="2"/>
      </w:r>
      <w:r>
        <w:rPr>
          <w:rFonts w:asciiTheme="minorHAnsi" w:hAnsiTheme="minorHAnsi" w:cstheme="minorHAnsi"/>
        </w:rPr>
        <w:t xml:space="preserve"> </w:t>
      </w:r>
      <w:r w:rsidRPr="005D1214">
        <w:rPr>
          <w:rFonts w:asciiTheme="minorHAnsi" w:hAnsiTheme="minorHAnsi" w:cstheme="minorHAnsi"/>
        </w:rPr>
        <w:t xml:space="preserve">The </w:t>
      </w:r>
      <w:r w:rsidRPr="005D1214">
        <w:rPr>
          <w:rFonts w:asciiTheme="minorHAnsi" w:hAnsiTheme="minorHAnsi" w:cstheme="minorHAnsi"/>
          <w:b/>
          <w:bCs/>
        </w:rPr>
        <w:t xml:space="preserve">primary goal </w:t>
      </w:r>
      <w:r w:rsidRPr="005D1214">
        <w:rPr>
          <w:rFonts w:asciiTheme="minorHAnsi" w:hAnsiTheme="minorHAnsi" w:cstheme="minorHAnsi"/>
        </w:rPr>
        <w:t xml:space="preserve">of HTTK is to provide a human dose context for bioactive </w:t>
      </w:r>
      <w:r w:rsidRPr="005D1214">
        <w:rPr>
          <w:rFonts w:asciiTheme="minorHAnsi" w:hAnsiTheme="minorHAnsi" w:cstheme="minorHAnsi"/>
          <w:i/>
          <w:iCs/>
        </w:rPr>
        <w:t xml:space="preserve">in vitro </w:t>
      </w:r>
      <w:r w:rsidRPr="005D1214">
        <w:rPr>
          <w:rFonts w:asciiTheme="minorHAnsi" w:hAnsiTheme="minorHAnsi" w:cstheme="minorHAnsi"/>
        </w:rPr>
        <w:t xml:space="preserve">concentrations from </w:t>
      </w:r>
      <w:r>
        <w:rPr>
          <w:rFonts w:asciiTheme="minorHAnsi" w:hAnsiTheme="minorHAnsi" w:cstheme="minorHAnsi"/>
        </w:rPr>
        <w:t>in vitro high throughput screening</w:t>
      </w:r>
      <w:r w:rsidRPr="005D1214">
        <w:rPr>
          <w:rFonts w:asciiTheme="minorHAnsi" w:hAnsiTheme="minorHAnsi" w:cstheme="minorHAnsi"/>
        </w:rPr>
        <w:t xml:space="preserve"> (that is</w:t>
      </w:r>
      <w:r w:rsidRPr="005D1214">
        <w:rPr>
          <w:rFonts w:asciiTheme="minorHAnsi" w:hAnsiTheme="minorHAnsi" w:cstheme="minorHAnsi"/>
          <w:i/>
          <w:iCs/>
        </w:rPr>
        <w:t>, in vitro-in vivo</w:t>
      </w:r>
      <w:r w:rsidRPr="005D1214">
        <w:rPr>
          <w:rFonts w:asciiTheme="minorHAnsi" w:hAnsiTheme="minorHAnsi" w:cstheme="minorHAnsi"/>
        </w:rPr>
        <w:t xml:space="preserve"> extrapolation, or </w:t>
      </w:r>
      <w:r w:rsidRPr="005D1214">
        <w:rPr>
          <w:rFonts w:asciiTheme="minorHAnsi" w:hAnsiTheme="minorHAnsi" w:cstheme="minorHAnsi"/>
          <w:b/>
          <w:bCs/>
        </w:rPr>
        <w:t>IVIVE</w:t>
      </w:r>
      <w:r w:rsidRPr="005D1214">
        <w:rPr>
          <w:rFonts w:asciiTheme="minorHAnsi" w:hAnsiTheme="minorHAnsi" w:cstheme="minorHAnsi"/>
        </w:rPr>
        <w:t>)</w:t>
      </w:r>
      <w:r>
        <w:rPr>
          <w:rFonts w:asciiTheme="minorHAnsi" w:hAnsiTheme="minorHAnsi" w:cstheme="minorHAnsi"/>
        </w:rPr>
        <w:t>.</w:t>
      </w:r>
      <w:r>
        <w:rPr>
          <w:rStyle w:val="FootnoteReference"/>
          <w:rFonts w:asciiTheme="minorHAnsi" w:hAnsiTheme="minorHAnsi" w:cstheme="minorHAnsi"/>
        </w:rPr>
        <w:footnoteReference w:id="3"/>
      </w:r>
      <w:r>
        <w:rPr>
          <w:rFonts w:asciiTheme="minorHAnsi" w:hAnsiTheme="minorHAnsi" w:cstheme="minorHAnsi"/>
        </w:rPr>
        <w:t xml:space="preserve"> </w:t>
      </w:r>
      <w:r w:rsidRPr="005D1214">
        <w:rPr>
          <w:rFonts w:asciiTheme="minorHAnsi" w:hAnsiTheme="minorHAnsi" w:cstheme="minorHAnsi"/>
        </w:rPr>
        <w:t xml:space="preserve">A </w:t>
      </w:r>
      <w:r w:rsidRPr="005D1214">
        <w:rPr>
          <w:rFonts w:asciiTheme="minorHAnsi" w:hAnsiTheme="minorHAnsi" w:cstheme="minorHAnsi"/>
          <w:b/>
          <w:bCs/>
        </w:rPr>
        <w:t>secondary goal</w:t>
      </w:r>
      <w:r w:rsidRPr="005D1214">
        <w:rPr>
          <w:rFonts w:asciiTheme="minorHAnsi" w:hAnsiTheme="minorHAnsi" w:cstheme="minorHAnsi"/>
        </w:rPr>
        <w:t xml:space="preserve"> is to provide </w:t>
      </w:r>
      <w:r w:rsidRPr="005D1214">
        <w:rPr>
          <w:rFonts w:asciiTheme="minorHAnsi" w:hAnsiTheme="minorHAnsi" w:cstheme="minorHAnsi"/>
          <w:b/>
          <w:bCs/>
        </w:rPr>
        <w:t>open source data and models</w:t>
      </w:r>
      <w:r w:rsidRPr="005D1214">
        <w:rPr>
          <w:rFonts w:asciiTheme="minorHAnsi" w:hAnsiTheme="minorHAnsi" w:cstheme="minorHAnsi"/>
        </w:rPr>
        <w:t xml:space="preserve"> for evaluation and use by the broader scientific community</w:t>
      </w:r>
      <w:r>
        <w:rPr>
          <w:rFonts w:asciiTheme="minorHAnsi" w:hAnsiTheme="minorHAnsi" w:cstheme="minorHAnsi"/>
        </w:rPr>
        <w:t>.</w:t>
      </w:r>
      <w:bookmarkStart w:id="1" w:name="_Ref44486083"/>
      <w:r>
        <w:rPr>
          <w:rStyle w:val="FootnoteReference"/>
          <w:rFonts w:asciiTheme="minorHAnsi" w:hAnsiTheme="minorHAnsi" w:cstheme="minorHAnsi"/>
        </w:rPr>
        <w:footnoteReference w:id="4"/>
      </w:r>
      <w:bookmarkEnd w:id="1"/>
    </w:p>
    <w:p w14:paraId="20867F96" w14:textId="47559CCC" w:rsidR="005D1214" w:rsidRDefault="005D1214" w:rsidP="00EB23E6">
      <w:pPr>
        <w:rPr>
          <w:rFonts w:asciiTheme="minorHAnsi" w:hAnsiTheme="minorHAnsi" w:cstheme="minorHAnsi"/>
        </w:rPr>
      </w:pPr>
    </w:p>
    <w:p w14:paraId="50C54C3F" w14:textId="69757605" w:rsidR="00CF5F24" w:rsidRDefault="00CF5F24" w:rsidP="007830C5">
      <w:pPr>
        <w:rPr>
          <w:rFonts w:asciiTheme="minorHAnsi" w:hAnsiTheme="minorHAnsi" w:cstheme="minorHAnsi"/>
        </w:rPr>
      </w:pPr>
      <w:r>
        <w:rPr>
          <w:rFonts w:asciiTheme="minorHAnsi" w:hAnsiTheme="minorHAnsi" w:cstheme="minorHAnsi"/>
        </w:rPr>
        <w:t xml:space="preserve">Statistical analyses are needed to extract the key parameters from multiple in vitro measurements. In order to standardize these analyses, the data from the in vitro experiments must be organized in a way </w:t>
      </w:r>
      <w:r>
        <w:rPr>
          <w:rFonts w:asciiTheme="minorHAnsi" w:hAnsiTheme="minorHAnsi" w:cstheme="minorHAnsi"/>
        </w:rPr>
        <w:lastRenderedPageBreak/>
        <w:t>that allows systematic statistical analysis. This standard operating procedure (SOP) describes that process.</w:t>
      </w:r>
      <w:r w:rsidR="00121800">
        <w:rPr>
          <w:rFonts w:asciiTheme="minorHAnsi" w:hAnsiTheme="minorHAnsi" w:cstheme="minorHAnsi"/>
        </w:rPr>
        <w:t xml:space="preserve"> </w:t>
      </w:r>
    </w:p>
    <w:p w14:paraId="1DE6990A" w14:textId="646E0BB8" w:rsidR="0033788D" w:rsidRDefault="00CF5F24" w:rsidP="009030CE">
      <w:pPr>
        <w:pStyle w:val="Heading2"/>
      </w:pPr>
      <w:r>
        <w:t xml:space="preserve">Relevant </w:t>
      </w:r>
      <w:r w:rsidR="0033788D">
        <w:t>Definitions</w:t>
      </w:r>
    </w:p>
    <w:p w14:paraId="28A43CF3" w14:textId="4D9577DA" w:rsidR="0033788D" w:rsidRDefault="0033788D" w:rsidP="0033788D"/>
    <w:p w14:paraId="62D3FA74" w14:textId="77777777" w:rsidR="00121800" w:rsidRDefault="00121800" w:rsidP="0033788D">
      <w:r>
        <w:t>We use the terms “chemical” and “compound” to interchangeably to refer to a substance with a unique DSStox Substance ID (DTXSID)</w:t>
      </w:r>
    </w:p>
    <w:p w14:paraId="0FF407BB" w14:textId="77777777" w:rsidR="00121800" w:rsidRDefault="00121800" w:rsidP="0033788D"/>
    <w:p w14:paraId="7A23CE58" w14:textId="793C0E0D" w:rsidR="00845FF0" w:rsidRDefault="00845FF0" w:rsidP="0033788D">
      <w:r>
        <w:t xml:space="preserve">We use the terms “directory” and “folder” interchangeably to describe a file location on a computer, for example </w:t>
      </w:r>
      <w:r w:rsidRPr="00845FF0">
        <w:t>L:\Lab\NCCT_ExpoCast\ExpoCast20</w:t>
      </w:r>
      <w:r>
        <w:t>XX</w:t>
      </w:r>
      <w:r w:rsidRPr="00845FF0">
        <w:t>\</w:t>
      </w:r>
    </w:p>
    <w:p w14:paraId="6ABB941A" w14:textId="392D8E26" w:rsidR="00845FF0" w:rsidRDefault="00845FF0" w:rsidP="0033788D"/>
    <w:p w14:paraId="36D3182B" w14:textId="02245FFC" w:rsidR="00845FF0" w:rsidRDefault="00845FF0" w:rsidP="00845FF0">
      <w:r>
        <w:t xml:space="preserve">A “sub-directory” or “sub-folder” is a directory within another directory, for example </w:t>
      </w:r>
      <w:r w:rsidRPr="00845FF0">
        <w:t>L:\Lab\NCCT_ExpoCast\ExpoCast20</w:t>
      </w:r>
      <w:r>
        <w:t>XX</w:t>
      </w:r>
      <w:r w:rsidRPr="00845FF0">
        <w:t>\HTTKNewData</w:t>
      </w:r>
    </w:p>
    <w:p w14:paraId="23B32671" w14:textId="340B76A3" w:rsidR="00845FF0" w:rsidRDefault="00845FF0" w:rsidP="0033788D"/>
    <w:p w14:paraId="24082A80" w14:textId="181A9B89" w:rsidR="00845FF0" w:rsidRDefault="002D52FB" w:rsidP="002D52FB">
      <w:pPr>
        <w:pStyle w:val="Heading2"/>
      </w:pPr>
      <w:r>
        <w:t>The HTTK Assays</w:t>
      </w:r>
    </w:p>
    <w:p w14:paraId="4FCD8261" w14:textId="287E1B7D" w:rsidR="002D52FB" w:rsidRDefault="002D52FB" w:rsidP="0033788D"/>
    <w:p w14:paraId="08F152DF" w14:textId="0C894BF9" w:rsidR="002D52FB" w:rsidRDefault="002D52FB" w:rsidP="0033788D">
      <w:r>
        <w:t>HTTK makes use of multiple in vitro assays that inform toxicokinetics. As more assays become available, new types of measurements may be added. Depending on when a chemical was measured (and what the goals for that set of data were) not all assays may have been conducted.</w:t>
      </w:r>
    </w:p>
    <w:p w14:paraId="0A344FC0" w14:textId="13E43D61" w:rsidR="008F3DE8" w:rsidRDefault="008F3DE8" w:rsidP="0033788D"/>
    <w:p w14:paraId="4AD7F920" w14:textId="77777777" w:rsidR="008F3DE8" w:rsidRDefault="008F3DE8" w:rsidP="008F3DE8">
      <w:pPr>
        <w:rPr>
          <w:rFonts w:asciiTheme="minorHAnsi" w:hAnsiTheme="minorHAnsi" w:cstheme="minorHAnsi"/>
        </w:rPr>
      </w:pPr>
      <w:r>
        <w:rPr>
          <w:rFonts w:asciiTheme="minorHAnsi" w:hAnsiTheme="minorHAnsi" w:cstheme="minorHAnsi"/>
        </w:rPr>
        <w:t>The data collected to support chemical-specific predictions of toxicokinetics include four types of in vitro TK measurements:</w:t>
      </w:r>
    </w:p>
    <w:p w14:paraId="5A7D19DD" w14:textId="77777777" w:rsidR="008F3DE8" w:rsidRDefault="008F3DE8" w:rsidP="008F3DE8">
      <w:pPr>
        <w:pStyle w:val="ListParagraph"/>
        <w:numPr>
          <w:ilvl w:val="0"/>
          <w:numId w:val="10"/>
        </w:numPr>
        <w:rPr>
          <w:rFonts w:asciiTheme="minorHAnsi" w:hAnsiTheme="minorHAnsi" w:cstheme="minorHAnsi"/>
        </w:rPr>
      </w:pPr>
      <w:r>
        <w:rPr>
          <w:rFonts w:asciiTheme="minorHAnsi" w:hAnsiTheme="minorHAnsi" w:cstheme="minorHAnsi"/>
        </w:rPr>
        <w:t>Stability of compound when incubated with primary hepatocytes (that is, intrinsic hepatic clearance)</w:t>
      </w:r>
    </w:p>
    <w:p w14:paraId="0C5619F1" w14:textId="77777777" w:rsidR="008F3DE8" w:rsidRDefault="008F3DE8" w:rsidP="008F3DE8">
      <w:pPr>
        <w:pStyle w:val="ListParagraph"/>
        <w:numPr>
          <w:ilvl w:val="0"/>
          <w:numId w:val="10"/>
        </w:numPr>
        <w:rPr>
          <w:rFonts w:asciiTheme="minorHAnsi" w:hAnsiTheme="minorHAnsi" w:cstheme="minorHAnsi"/>
        </w:rPr>
      </w:pPr>
      <w:r>
        <w:rPr>
          <w:rFonts w:asciiTheme="minorHAnsi" w:hAnsiTheme="minorHAnsi" w:cstheme="minorHAnsi"/>
        </w:rPr>
        <w:t>Fraction of compound unbound in the presence of plasma protein</w:t>
      </w:r>
    </w:p>
    <w:p w14:paraId="5E2DE02E" w14:textId="77777777" w:rsidR="008F3DE8" w:rsidRDefault="008F3DE8" w:rsidP="008F3DE8">
      <w:pPr>
        <w:pStyle w:val="ListParagraph"/>
        <w:numPr>
          <w:ilvl w:val="0"/>
          <w:numId w:val="10"/>
        </w:numPr>
        <w:rPr>
          <w:rFonts w:asciiTheme="minorHAnsi" w:hAnsiTheme="minorHAnsi" w:cstheme="minorHAnsi"/>
        </w:rPr>
      </w:pPr>
      <w:r>
        <w:rPr>
          <w:rFonts w:asciiTheme="minorHAnsi" w:hAnsiTheme="minorHAnsi" w:cstheme="minorHAnsi"/>
        </w:rPr>
        <w:t>Caco2 membrane permeability</w:t>
      </w:r>
    </w:p>
    <w:p w14:paraId="20FE364E" w14:textId="77777777" w:rsidR="008F3DE8" w:rsidRPr="00CF5F24" w:rsidRDefault="008F3DE8" w:rsidP="008F3DE8">
      <w:pPr>
        <w:pStyle w:val="ListParagraph"/>
        <w:numPr>
          <w:ilvl w:val="0"/>
          <w:numId w:val="10"/>
        </w:numPr>
        <w:rPr>
          <w:rFonts w:asciiTheme="minorHAnsi" w:hAnsiTheme="minorHAnsi" w:cstheme="minorHAnsi"/>
        </w:rPr>
      </w:pPr>
      <w:r>
        <w:rPr>
          <w:rFonts w:asciiTheme="minorHAnsi" w:hAnsiTheme="minorHAnsi" w:cstheme="minorHAnsi"/>
        </w:rPr>
        <w:t>Relative concentration in blood and plasma</w:t>
      </w:r>
    </w:p>
    <w:p w14:paraId="36136525" w14:textId="77777777" w:rsidR="008F3DE8" w:rsidRDefault="008F3DE8" w:rsidP="0033788D"/>
    <w:p w14:paraId="2E4F8C7E" w14:textId="2024E39F" w:rsidR="002D52FB" w:rsidRDefault="008721F7" w:rsidP="0033788D">
      <w:r>
        <w:t>All measurements include replicates for statistical analysis.</w:t>
      </w:r>
      <w:r w:rsidR="003B74C7">
        <w:t xml:space="preserve"> All measurements include control chemicals (for example, propranolol is often used) – these will be repeated in every batch of data to demonstrate that the assay is working. Their identity will be different from the ToxCast chemicals, which are usually only indicated with a DTXSID (</w:t>
      </w:r>
      <w:hyperlink r:id="rId9" w:history="1">
        <w:r w:rsidR="003B74C7" w:rsidRPr="00B03D34">
          <w:rPr>
            <w:rStyle w:val="Hyperlink"/>
          </w:rPr>
          <w:t>https://www.wikidata.org/wiki/Property:P3117</w:t>
        </w:r>
      </w:hyperlink>
      <w:r w:rsidR="003B74C7">
        <w:t>). We do want to capture this control data because it provides a measure of experimental variability.</w:t>
      </w:r>
    </w:p>
    <w:p w14:paraId="086D15EF" w14:textId="77777777" w:rsidR="00FA7BD7" w:rsidRDefault="00FA7BD7">
      <w:pPr>
        <w:spacing w:after="160" w:line="259" w:lineRule="auto"/>
        <w:rPr>
          <w:rFonts w:eastAsia="Times New Roman"/>
          <w:b/>
          <w:bCs/>
          <w:sz w:val="27"/>
          <w:szCs w:val="27"/>
        </w:rPr>
      </w:pPr>
      <w:r>
        <w:br w:type="page"/>
      </w:r>
    </w:p>
    <w:p w14:paraId="0E783FCC" w14:textId="38B810E6" w:rsidR="002D52FB" w:rsidRDefault="002D52FB" w:rsidP="002D52FB">
      <w:pPr>
        <w:pStyle w:val="Heading3"/>
      </w:pPr>
      <w:r>
        <w:lastRenderedPageBreak/>
        <w:t>Metabolic Stability</w:t>
      </w:r>
      <w:r w:rsidR="008F3DE8">
        <w:rPr>
          <w:rStyle w:val="FootnoteReference"/>
        </w:rPr>
        <w:footnoteReference w:id="5"/>
      </w:r>
    </w:p>
    <w:p w14:paraId="459C1955" w14:textId="0C80267D" w:rsidR="002D52FB" w:rsidRDefault="00FA7BD7" w:rsidP="0033788D">
      <w:r>
        <w:rPr>
          <w:noProof/>
        </w:rPr>
        <w:drawing>
          <wp:inline distT="0" distB="0" distL="0" distR="0" wp14:anchorId="556B0B24" wp14:editId="695D3B47">
            <wp:extent cx="6054725" cy="213038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78460" cy="2138734"/>
                    </a:xfrm>
                    <a:prstGeom prst="rect">
                      <a:avLst/>
                    </a:prstGeom>
                    <a:noFill/>
                  </pic:spPr>
                </pic:pic>
              </a:graphicData>
            </a:graphic>
          </wp:inline>
        </w:drawing>
      </w:r>
    </w:p>
    <w:p w14:paraId="4BE20D58" w14:textId="7B8094C5" w:rsidR="002D52FB" w:rsidRDefault="002D52FB" w:rsidP="0033788D">
      <w:r>
        <w:t>Also know as intrinsic clearance (Clint)</w:t>
      </w:r>
    </w:p>
    <w:p w14:paraId="0ED83CE2" w14:textId="7C844EB5" w:rsidR="002D52FB" w:rsidRDefault="002D52FB" w:rsidP="0033788D"/>
    <w:p w14:paraId="7ACC6791" w14:textId="01303058" w:rsidR="008721F7" w:rsidRDefault="008721F7" w:rsidP="0033788D">
      <w:r>
        <w:t>This is a series of peaks areas measured at different times as the chemical incubates with hepatocytes (liver cells that metabolize many chemicals) for up to four hours.</w:t>
      </w:r>
    </w:p>
    <w:p w14:paraId="77CBA439" w14:textId="7F114999" w:rsidR="002D52FB" w:rsidRDefault="002D52FB" w:rsidP="002D52FB">
      <w:pPr>
        <w:pStyle w:val="Heading3"/>
      </w:pPr>
      <w:r>
        <w:t>Fraction Unbound in Plasma</w:t>
      </w:r>
    </w:p>
    <w:p w14:paraId="0BCDDBF2" w14:textId="77777777" w:rsidR="00FA7BD7" w:rsidRDefault="00FA7BD7" w:rsidP="0033788D">
      <w:r>
        <w:t>We use two different assays to measure chemical fraction unbound in plasma: 1) rapid equilibrium dialysis and 2) ultracentrifugation.</w:t>
      </w:r>
    </w:p>
    <w:p w14:paraId="6712E2A6" w14:textId="77777777" w:rsidR="00FA7BD7" w:rsidRDefault="00FA7BD7" w:rsidP="0033788D"/>
    <w:p w14:paraId="2083F3BB" w14:textId="77777777" w:rsidR="00FA7BD7" w:rsidRDefault="00FA7BD7">
      <w:pPr>
        <w:spacing w:after="160" w:line="259" w:lineRule="auto"/>
        <w:rPr>
          <w:rFonts w:asciiTheme="majorHAnsi" w:eastAsiaTheme="majorEastAsia" w:hAnsiTheme="majorHAnsi" w:cstheme="majorBidi"/>
          <w:i/>
          <w:iCs/>
          <w:color w:val="2F5496" w:themeColor="accent1" w:themeShade="BF"/>
        </w:rPr>
      </w:pPr>
      <w:r>
        <w:br w:type="page"/>
      </w:r>
    </w:p>
    <w:p w14:paraId="6F6EA043" w14:textId="554169CB" w:rsidR="00FA7BD7" w:rsidRDefault="00FA7BD7" w:rsidP="00FA7BD7">
      <w:pPr>
        <w:pStyle w:val="Heading4"/>
      </w:pPr>
      <w:r>
        <w:lastRenderedPageBreak/>
        <w:t>Rapid Equilibrium Dialysis</w:t>
      </w:r>
      <w:r>
        <w:rPr>
          <w:rStyle w:val="FootnoteReference"/>
        </w:rPr>
        <w:footnoteReference w:id="6"/>
      </w:r>
    </w:p>
    <w:p w14:paraId="66515B2D" w14:textId="77777777" w:rsidR="00FA7BD7" w:rsidRDefault="00FA7BD7" w:rsidP="0033788D"/>
    <w:p w14:paraId="69B13ABA" w14:textId="77777777" w:rsidR="00FA7BD7" w:rsidRDefault="00FA7BD7" w:rsidP="0033788D">
      <w:r>
        <w:rPr>
          <w:noProof/>
        </w:rPr>
        <w:drawing>
          <wp:inline distT="0" distB="0" distL="0" distR="0" wp14:anchorId="38DFB438" wp14:editId="316EFE3B">
            <wp:extent cx="5438775" cy="2392434"/>
            <wp:effectExtent l="0" t="0" r="0" b="0"/>
            <wp:docPr id="381307810" name="Picture 3813078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57321" cy="2400592"/>
                    </a:xfrm>
                    <a:prstGeom prst="rect">
                      <a:avLst/>
                    </a:prstGeom>
                    <a:noFill/>
                  </pic:spPr>
                </pic:pic>
              </a:graphicData>
            </a:graphic>
          </wp:inline>
        </w:drawing>
      </w:r>
    </w:p>
    <w:p w14:paraId="7641B79F" w14:textId="0A1BDB1A" w:rsidR="002D52FB" w:rsidRDefault="008721F7" w:rsidP="0033788D">
      <w:r>
        <w:t xml:space="preserve">This is a series of peaks from different fractions of the same experiment to try to assess the ratio of the concentration of chemical without plasma to the concentration in the presence of plasma (Fup). </w:t>
      </w:r>
    </w:p>
    <w:p w14:paraId="1B338888" w14:textId="77777777" w:rsidR="008721F7" w:rsidRDefault="008721F7" w:rsidP="0033788D"/>
    <w:p w14:paraId="0BC8E356" w14:textId="77777777" w:rsidR="002D52FB" w:rsidRDefault="002D52FB" w:rsidP="002D52FB">
      <w:r>
        <w:t>For new measurements HTTK (&gt;200 compounds to data) performed by Cyprotex, we have modified RED protocol to use a titration of plasma protein (10%, 30%, 100%) of physiological concentration</w:t>
      </w:r>
    </w:p>
    <w:p w14:paraId="34C617C2" w14:textId="77777777" w:rsidR="002D52FB" w:rsidRDefault="002D52FB" w:rsidP="002D52FB"/>
    <w:p w14:paraId="2E8A4C30" w14:textId="20248F5C" w:rsidR="002D52FB" w:rsidRDefault="002D52FB" w:rsidP="002D52FB">
      <w:r>
        <w:t>Keeps chemical concentration in the same range</w:t>
      </w:r>
    </w:p>
    <w:p w14:paraId="359C852E" w14:textId="50ADF77F" w:rsidR="008F3DE8" w:rsidRDefault="008F3DE8" w:rsidP="002D52FB"/>
    <w:p w14:paraId="772A5EFE" w14:textId="39711FD4" w:rsidR="008F3DE8" w:rsidRDefault="008F3DE8" w:rsidP="008F3DE8">
      <w:r>
        <w:t>That way highly bound chemicals that are &lt;LOD at 100% are potentially visible at lower concentrations.</w:t>
      </w:r>
    </w:p>
    <w:p w14:paraId="3CFCAF69" w14:textId="44D6D0D6" w:rsidR="008F3DE8" w:rsidRDefault="008F3DE8" w:rsidP="008F3DE8">
      <w:r>
        <w:t>Also allows us to estimate binding affinity.</w:t>
      </w:r>
    </w:p>
    <w:p w14:paraId="415D3B5D" w14:textId="7E42C43B" w:rsidR="002D52FB" w:rsidRDefault="002D52FB" w:rsidP="0033788D"/>
    <w:p w14:paraId="6B39320A" w14:textId="77777777" w:rsidR="00FA7BD7" w:rsidRDefault="00FA7BD7">
      <w:pPr>
        <w:spacing w:after="160" w:line="259" w:lineRule="auto"/>
        <w:rPr>
          <w:rFonts w:asciiTheme="majorHAnsi" w:eastAsiaTheme="majorEastAsia" w:hAnsiTheme="majorHAnsi" w:cstheme="majorBidi"/>
          <w:i/>
          <w:iCs/>
          <w:color w:val="2F5496" w:themeColor="accent1" w:themeShade="BF"/>
        </w:rPr>
      </w:pPr>
      <w:r>
        <w:br w:type="page"/>
      </w:r>
    </w:p>
    <w:p w14:paraId="626EFCE0" w14:textId="130613FB" w:rsidR="00FA7BD7" w:rsidRDefault="00FA7BD7" w:rsidP="00FA7BD7">
      <w:pPr>
        <w:pStyle w:val="Heading4"/>
      </w:pPr>
      <w:r>
        <w:lastRenderedPageBreak/>
        <w:t>Ultracentrifugation</w:t>
      </w:r>
    </w:p>
    <w:p w14:paraId="4F738AFC" w14:textId="77777777" w:rsidR="00FA7BD7" w:rsidRDefault="00FA7BD7" w:rsidP="0033788D"/>
    <w:p w14:paraId="0863DC52" w14:textId="0C4189C5" w:rsidR="002D52FB" w:rsidRDefault="00FA7BD7" w:rsidP="0033788D">
      <w:r>
        <w:rPr>
          <w:noProof/>
        </w:rPr>
        <w:drawing>
          <wp:inline distT="0" distB="0" distL="0" distR="0" wp14:anchorId="6EFFD14D" wp14:editId="22B5083D">
            <wp:extent cx="4401820" cy="2517775"/>
            <wp:effectExtent l="0" t="0" r="0" b="0"/>
            <wp:docPr id="381307811" name="Picture 3813078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01820" cy="2517775"/>
                    </a:xfrm>
                    <a:prstGeom prst="rect">
                      <a:avLst/>
                    </a:prstGeom>
                    <a:noFill/>
                  </pic:spPr>
                </pic:pic>
              </a:graphicData>
            </a:graphic>
          </wp:inline>
        </w:drawing>
      </w:r>
    </w:p>
    <w:p w14:paraId="494EFFD7" w14:textId="76B9BA90" w:rsidR="00FA7BD7" w:rsidRDefault="00FA7BD7" w:rsidP="0033788D"/>
    <w:tbl>
      <w:tblPr>
        <w:tblW w:w="9360" w:type="dxa"/>
        <w:tblLook w:val="04A0" w:firstRow="1" w:lastRow="0" w:firstColumn="1" w:lastColumn="0" w:noHBand="0" w:noVBand="1"/>
      </w:tblPr>
      <w:tblGrid>
        <w:gridCol w:w="9360"/>
      </w:tblGrid>
      <w:tr w:rsidR="00FA7BD7" w:rsidRPr="00FA7BD7" w14:paraId="397D9AE0" w14:textId="77777777" w:rsidTr="00FA7BD7">
        <w:trPr>
          <w:trHeight w:val="300"/>
        </w:trPr>
        <w:tc>
          <w:tcPr>
            <w:tcW w:w="9360" w:type="dxa"/>
            <w:tcBorders>
              <w:top w:val="nil"/>
              <w:left w:val="nil"/>
              <w:bottom w:val="nil"/>
              <w:right w:val="nil"/>
            </w:tcBorders>
            <w:shd w:val="clear" w:color="auto" w:fill="auto"/>
            <w:noWrap/>
            <w:vAlign w:val="bottom"/>
            <w:hideMark/>
          </w:tcPr>
          <w:p w14:paraId="667F3769" w14:textId="77777777" w:rsidR="00FA7BD7" w:rsidRPr="00FA7BD7" w:rsidRDefault="00FA7BD7" w:rsidP="00FA7BD7">
            <w:pPr>
              <w:rPr>
                <w:rFonts w:eastAsia="Times New Roman"/>
                <w:color w:val="000000"/>
              </w:rPr>
            </w:pPr>
            <w:r w:rsidRPr="00FA7BD7">
              <w:rPr>
                <w:rFonts w:eastAsia="Times New Roman"/>
                <w:color w:val="000000"/>
              </w:rPr>
              <w:t>Additionally, plasma stability time points at 1 hr (initiation of UC) and ~5hr were included</w:t>
            </w:r>
          </w:p>
        </w:tc>
      </w:tr>
      <w:tr w:rsidR="00FA7BD7" w:rsidRPr="00FA7BD7" w14:paraId="21C8084E" w14:textId="77777777" w:rsidTr="00FA7BD7">
        <w:trPr>
          <w:trHeight w:val="300"/>
        </w:trPr>
        <w:tc>
          <w:tcPr>
            <w:tcW w:w="9360" w:type="dxa"/>
            <w:tcBorders>
              <w:top w:val="nil"/>
              <w:left w:val="nil"/>
              <w:bottom w:val="nil"/>
              <w:right w:val="nil"/>
            </w:tcBorders>
            <w:shd w:val="clear" w:color="auto" w:fill="auto"/>
            <w:noWrap/>
            <w:vAlign w:val="bottom"/>
            <w:hideMark/>
          </w:tcPr>
          <w:p w14:paraId="22AB5426" w14:textId="77777777" w:rsidR="00FA7BD7" w:rsidRPr="00FA7BD7" w:rsidRDefault="00FA7BD7" w:rsidP="00FA7BD7">
            <w:pPr>
              <w:rPr>
                <w:rFonts w:eastAsia="Times New Roman"/>
                <w:color w:val="000000"/>
              </w:rPr>
            </w:pPr>
            <w:r w:rsidRPr="00FA7BD7">
              <w:rPr>
                <w:rFonts w:eastAsia="Times New Roman"/>
                <w:color w:val="000000"/>
              </w:rPr>
              <w:t>Fu = aqueous fraction/T5 hr</w:t>
            </w:r>
          </w:p>
        </w:tc>
      </w:tr>
      <w:tr w:rsidR="00FA7BD7" w:rsidRPr="00FA7BD7" w14:paraId="3D9C1D24" w14:textId="77777777" w:rsidTr="00FA7BD7">
        <w:trPr>
          <w:trHeight w:val="300"/>
        </w:trPr>
        <w:tc>
          <w:tcPr>
            <w:tcW w:w="9360" w:type="dxa"/>
            <w:tcBorders>
              <w:top w:val="nil"/>
              <w:left w:val="nil"/>
              <w:bottom w:val="nil"/>
              <w:right w:val="nil"/>
            </w:tcBorders>
            <w:shd w:val="clear" w:color="auto" w:fill="auto"/>
            <w:noWrap/>
            <w:vAlign w:val="bottom"/>
            <w:hideMark/>
          </w:tcPr>
          <w:p w14:paraId="11F34B4A" w14:textId="77777777" w:rsidR="00FA7BD7" w:rsidRPr="00FA7BD7" w:rsidRDefault="00FA7BD7" w:rsidP="00FA7BD7">
            <w:pPr>
              <w:rPr>
                <w:rFonts w:eastAsia="Times New Roman"/>
                <w:color w:val="000000"/>
              </w:rPr>
            </w:pPr>
            <w:r w:rsidRPr="00FA7BD7">
              <w:rPr>
                <w:rFonts w:eastAsia="Times New Roman"/>
                <w:color w:val="000000"/>
              </w:rPr>
              <w:t xml:space="preserve">Dilution corrections: aqueous fraction assay 1:2; stability time points 1:5; for all samples, 1:4 dilution for crash (contains internal </w:t>
            </w:r>
            <w:proofErr w:type="spellStart"/>
            <w:r w:rsidRPr="00FA7BD7">
              <w:rPr>
                <w:rFonts w:eastAsia="Times New Roman"/>
                <w:color w:val="000000"/>
              </w:rPr>
              <w:t>stds</w:t>
            </w:r>
            <w:proofErr w:type="spellEnd"/>
            <w:r w:rsidRPr="00FA7BD7">
              <w:rPr>
                <w:rFonts w:eastAsia="Times New Roman"/>
                <w:color w:val="000000"/>
              </w:rPr>
              <w:t>) and 1:4 dilution for LC-MS analysis in matched mobile phase</w:t>
            </w:r>
          </w:p>
        </w:tc>
      </w:tr>
      <w:tr w:rsidR="00FA7BD7" w:rsidRPr="00FA7BD7" w14:paraId="6882053E" w14:textId="77777777" w:rsidTr="00FA7BD7">
        <w:trPr>
          <w:trHeight w:val="300"/>
        </w:trPr>
        <w:tc>
          <w:tcPr>
            <w:tcW w:w="9360" w:type="dxa"/>
            <w:tcBorders>
              <w:top w:val="nil"/>
              <w:left w:val="nil"/>
              <w:bottom w:val="nil"/>
              <w:right w:val="nil"/>
            </w:tcBorders>
            <w:shd w:val="clear" w:color="auto" w:fill="auto"/>
            <w:noWrap/>
            <w:vAlign w:val="bottom"/>
            <w:hideMark/>
          </w:tcPr>
          <w:p w14:paraId="2916BDF4" w14:textId="77777777" w:rsidR="00FA7BD7" w:rsidRPr="00FA7BD7" w:rsidRDefault="00FA7BD7" w:rsidP="00FA7BD7">
            <w:pPr>
              <w:rPr>
                <w:rFonts w:eastAsia="Times New Roman"/>
                <w:color w:val="000000"/>
              </w:rPr>
            </w:pPr>
            <w:r w:rsidRPr="00FA7BD7">
              <w:rPr>
                <w:rFonts w:eastAsia="Times New Roman"/>
                <w:color w:val="000000"/>
              </w:rPr>
              <w:t xml:space="preserve">n-butylparaben was included as </w:t>
            </w:r>
            <w:proofErr w:type="spellStart"/>
            <w:r w:rsidRPr="00FA7BD7">
              <w:rPr>
                <w:rFonts w:eastAsia="Times New Roman"/>
                <w:color w:val="000000"/>
              </w:rPr>
              <w:t>referance</w:t>
            </w:r>
            <w:proofErr w:type="spellEnd"/>
            <w:r w:rsidRPr="00FA7BD7">
              <w:rPr>
                <w:rFonts w:eastAsia="Times New Roman"/>
                <w:color w:val="000000"/>
              </w:rPr>
              <w:t xml:space="preserve"> compound/positive control </w:t>
            </w:r>
          </w:p>
        </w:tc>
      </w:tr>
      <w:tr w:rsidR="00FA7BD7" w:rsidRPr="00FA7BD7" w14:paraId="03DA103A" w14:textId="77777777" w:rsidTr="00FA7BD7">
        <w:trPr>
          <w:trHeight w:val="300"/>
        </w:trPr>
        <w:tc>
          <w:tcPr>
            <w:tcW w:w="9360" w:type="dxa"/>
            <w:tcBorders>
              <w:top w:val="nil"/>
              <w:left w:val="nil"/>
              <w:bottom w:val="nil"/>
              <w:right w:val="nil"/>
            </w:tcBorders>
            <w:shd w:val="clear" w:color="auto" w:fill="auto"/>
            <w:noWrap/>
            <w:vAlign w:val="bottom"/>
            <w:hideMark/>
          </w:tcPr>
          <w:p w14:paraId="5F0FFFED" w14:textId="77777777" w:rsidR="00FA7BD7" w:rsidRPr="00FA7BD7" w:rsidRDefault="00FA7BD7" w:rsidP="00FA7BD7">
            <w:pPr>
              <w:rPr>
                <w:rFonts w:eastAsia="Times New Roman"/>
                <w:color w:val="000000"/>
              </w:rPr>
            </w:pPr>
          </w:p>
        </w:tc>
      </w:tr>
      <w:tr w:rsidR="00FA7BD7" w:rsidRPr="00FA7BD7" w14:paraId="11DCDB02" w14:textId="77777777" w:rsidTr="00FA7BD7">
        <w:trPr>
          <w:trHeight w:val="300"/>
        </w:trPr>
        <w:tc>
          <w:tcPr>
            <w:tcW w:w="9360" w:type="dxa"/>
            <w:tcBorders>
              <w:top w:val="nil"/>
              <w:left w:val="nil"/>
              <w:bottom w:val="nil"/>
              <w:right w:val="nil"/>
            </w:tcBorders>
            <w:shd w:val="clear" w:color="auto" w:fill="auto"/>
            <w:noWrap/>
            <w:vAlign w:val="bottom"/>
            <w:hideMark/>
          </w:tcPr>
          <w:p w14:paraId="5FAD2E7A" w14:textId="77777777" w:rsidR="00FA7BD7" w:rsidRPr="00FA7BD7" w:rsidRDefault="00FA7BD7" w:rsidP="00FA7BD7">
            <w:pPr>
              <w:rPr>
                <w:rFonts w:eastAsia="Times New Roman"/>
                <w:b/>
                <w:bCs/>
                <w:color w:val="000000"/>
              </w:rPr>
            </w:pPr>
            <w:r w:rsidRPr="00FA7BD7">
              <w:rPr>
                <w:rFonts w:eastAsia="Times New Roman"/>
                <w:b/>
                <w:bCs/>
                <w:color w:val="000000"/>
              </w:rPr>
              <w:t>Calibration Curves-</w:t>
            </w:r>
          </w:p>
        </w:tc>
      </w:tr>
      <w:tr w:rsidR="00FA7BD7" w:rsidRPr="00FA7BD7" w14:paraId="59DB41E9" w14:textId="77777777" w:rsidTr="00FA7BD7">
        <w:trPr>
          <w:trHeight w:val="300"/>
        </w:trPr>
        <w:tc>
          <w:tcPr>
            <w:tcW w:w="9360" w:type="dxa"/>
            <w:tcBorders>
              <w:top w:val="nil"/>
              <w:left w:val="nil"/>
              <w:bottom w:val="nil"/>
              <w:right w:val="nil"/>
            </w:tcBorders>
            <w:shd w:val="clear" w:color="auto" w:fill="auto"/>
            <w:noWrap/>
            <w:vAlign w:val="bottom"/>
            <w:hideMark/>
          </w:tcPr>
          <w:p w14:paraId="60CAA9A6" w14:textId="77777777" w:rsidR="00FA7BD7" w:rsidRPr="00FA7BD7" w:rsidRDefault="00FA7BD7" w:rsidP="00FA7BD7">
            <w:pPr>
              <w:rPr>
                <w:rFonts w:eastAsia="Times New Roman"/>
                <w:color w:val="000000"/>
              </w:rPr>
            </w:pPr>
            <w:r w:rsidRPr="00FA7BD7">
              <w:rPr>
                <w:rFonts w:eastAsia="Times New Roman"/>
                <w:color w:val="000000"/>
              </w:rPr>
              <w:t>Used mixed matrix (50/50 mixture of human plasma and ultrafiltrate [aqueous fraction of plasma]) as matrix for curve</w:t>
            </w:r>
          </w:p>
        </w:tc>
      </w:tr>
      <w:tr w:rsidR="00FA7BD7" w:rsidRPr="00FA7BD7" w14:paraId="7E193F30" w14:textId="77777777" w:rsidTr="00FA7BD7">
        <w:trPr>
          <w:trHeight w:val="300"/>
        </w:trPr>
        <w:tc>
          <w:tcPr>
            <w:tcW w:w="9360" w:type="dxa"/>
            <w:tcBorders>
              <w:top w:val="nil"/>
              <w:left w:val="nil"/>
              <w:bottom w:val="nil"/>
              <w:right w:val="nil"/>
            </w:tcBorders>
            <w:shd w:val="clear" w:color="auto" w:fill="auto"/>
            <w:noWrap/>
            <w:vAlign w:val="bottom"/>
            <w:hideMark/>
          </w:tcPr>
          <w:p w14:paraId="4B7C641B" w14:textId="77777777" w:rsidR="00FA7BD7" w:rsidRPr="00FA7BD7" w:rsidRDefault="00FA7BD7" w:rsidP="00FA7BD7">
            <w:pPr>
              <w:rPr>
                <w:rFonts w:eastAsia="Times New Roman"/>
                <w:color w:val="000000"/>
              </w:rPr>
            </w:pPr>
            <w:r w:rsidRPr="00FA7BD7">
              <w:rPr>
                <w:rFonts w:eastAsia="Times New Roman"/>
                <w:color w:val="000000"/>
              </w:rPr>
              <w:t>Cal curves range from 0.053 pg/</w:t>
            </w:r>
            <w:proofErr w:type="spellStart"/>
            <w:r w:rsidRPr="00FA7BD7">
              <w:rPr>
                <w:rFonts w:eastAsia="Times New Roman"/>
                <w:color w:val="000000"/>
              </w:rPr>
              <w:t>uL</w:t>
            </w:r>
            <w:proofErr w:type="spellEnd"/>
            <w:r w:rsidRPr="00FA7BD7">
              <w:rPr>
                <w:rFonts w:eastAsia="Times New Roman"/>
                <w:color w:val="000000"/>
              </w:rPr>
              <w:t xml:space="preserve"> (0.00017 μM) - 76.35 pg/</w:t>
            </w:r>
            <w:proofErr w:type="spellStart"/>
            <w:r w:rsidRPr="00FA7BD7">
              <w:rPr>
                <w:rFonts w:eastAsia="Times New Roman"/>
                <w:color w:val="000000"/>
              </w:rPr>
              <w:t>uL</w:t>
            </w:r>
            <w:proofErr w:type="spellEnd"/>
            <w:r w:rsidRPr="00FA7BD7">
              <w:rPr>
                <w:rFonts w:eastAsia="Times New Roman"/>
                <w:color w:val="000000"/>
              </w:rPr>
              <w:t xml:space="preserve"> (0.25 μM) [up to 17 points]; pg/</w:t>
            </w:r>
            <w:proofErr w:type="spellStart"/>
            <w:r w:rsidRPr="00FA7BD7">
              <w:rPr>
                <w:rFonts w:eastAsia="Times New Roman"/>
                <w:color w:val="000000"/>
              </w:rPr>
              <w:t>uL</w:t>
            </w:r>
            <w:proofErr w:type="spellEnd"/>
            <w:r w:rsidRPr="00FA7BD7">
              <w:rPr>
                <w:rFonts w:eastAsia="Times New Roman"/>
                <w:color w:val="000000"/>
              </w:rPr>
              <w:t xml:space="preserve"> notation based off avg MW of 305 g/mol, but subsequently updated into μM for better mass balance</w:t>
            </w:r>
          </w:p>
        </w:tc>
      </w:tr>
      <w:tr w:rsidR="00FA7BD7" w:rsidRPr="00FA7BD7" w14:paraId="1866FA1F" w14:textId="77777777" w:rsidTr="00FA7BD7">
        <w:trPr>
          <w:trHeight w:val="300"/>
        </w:trPr>
        <w:tc>
          <w:tcPr>
            <w:tcW w:w="9360" w:type="dxa"/>
            <w:tcBorders>
              <w:top w:val="nil"/>
              <w:left w:val="nil"/>
              <w:bottom w:val="nil"/>
              <w:right w:val="nil"/>
            </w:tcBorders>
            <w:shd w:val="clear" w:color="auto" w:fill="auto"/>
            <w:noWrap/>
            <w:vAlign w:val="bottom"/>
            <w:hideMark/>
          </w:tcPr>
          <w:p w14:paraId="299A1D68" w14:textId="77777777" w:rsidR="00FA7BD7" w:rsidRPr="00FA7BD7" w:rsidRDefault="00FA7BD7" w:rsidP="00FA7BD7">
            <w:pPr>
              <w:rPr>
                <w:rFonts w:eastAsia="Times New Roman"/>
                <w:color w:val="000000"/>
              </w:rPr>
            </w:pPr>
            <w:r w:rsidRPr="00FA7BD7">
              <w:rPr>
                <w:rFonts w:eastAsia="Times New Roman"/>
                <w:color w:val="000000"/>
              </w:rPr>
              <w:t>Cal curve points were diluted 1:4 for crash and 1:4 for LC-MS analysis</w:t>
            </w:r>
          </w:p>
        </w:tc>
      </w:tr>
      <w:tr w:rsidR="00FA7BD7" w:rsidRPr="00FA7BD7" w14:paraId="3B5C6A87" w14:textId="77777777" w:rsidTr="00FA7BD7">
        <w:trPr>
          <w:trHeight w:val="300"/>
        </w:trPr>
        <w:tc>
          <w:tcPr>
            <w:tcW w:w="9360" w:type="dxa"/>
            <w:tcBorders>
              <w:top w:val="nil"/>
              <w:left w:val="nil"/>
              <w:bottom w:val="nil"/>
              <w:right w:val="nil"/>
            </w:tcBorders>
            <w:shd w:val="clear" w:color="auto" w:fill="auto"/>
            <w:noWrap/>
            <w:vAlign w:val="bottom"/>
            <w:hideMark/>
          </w:tcPr>
          <w:p w14:paraId="41963AD9" w14:textId="77777777" w:rsidR="00FA7BD7" w:rsidRPr="00FA7BD7" w:rsidRDefault="00FA7BD7" w:rsidP="00FA7BD7">
            <w:pPr>
              <w:rPr>
                <w:rFonts w:eastAsia="Times New Roman"/>
                <w:color w:val="000000"/>
              </w:rPr>
            </w:pPr>
            <w:r w:rsidRPr="00FA7BD7">
              <w:rPr>
                <w:rFonts w:eastAsia="Times New Roman"/>
                <w:color w:val="000000"/>
              </w:rPr>
              <w:t>Internal standard concentration at instrument is 3 pg/</w:t>
            </w:r>
            <w:proofErr w:type="spellStart"/>
            <w:r w:rsidRPr="00FA7BD7">
              <w:rPr>
                <w:rFonts w:eastAsia="Times New Roman"/>
                <w:color w:val="000000"/>
              </w:rPr>
              <w:t>uL</w:t>
            </w:r>
            <w:proofErr w:type="spellEnd"/>
            <w:r w:rsidRPr="00FA7BD7">
              <w:rPr>
                <w:rFonts w:eastAsia="Times New Roman"/>
                <w:color w:val="000000"/>
              </w:rPr>
              <w:t xml:space="preserve"> (0.010 μM) </w:t>
            </w:r>
          </w:p>
        </w:tc>
      </w:tr>
      <w:tr w:rsidR="00FA7BD7" w:rsidRPr="00FA7BD7" w14:paraId="4A5E14E3" w14:textId="77777777" w:rsidTr="00FA7BD7">
        <w:trPr>
          <w:trHeight w:val="300"/>
        </w:trPr>
        <w:tc>
          <w:tcPr>
            <w:tcW w:w="9360" w:type="dxa"/>
            <w:tcBorders>
              <w:top w:val="nil"/>
              <w:left w:val="nil"/>
              <w:bottom w:val="nil"/>
              <w:right w:val="nil"/>
            </w:tcBorders>
            <w:shd w:val="clear" w:color="auto" w:fill="auto"/>
            <w:noWrap/>
            <w:vAlign w:val="bottom"/>
            <w:hideMark/>
          </w:tcPr>
          <w:p w14:paraId="636F92C2" w14:textId="77777777" w:rsidR="00FA7BD7" w:rsidRPr="00FA7BD7" w:rsidRDefault="00FA7BD7" w:rsidP="00FA7BD7">
            <w:pPr>
              <w:rPr>
                <w:rFonts w:eastAsia="Times New Roman"/>
                <w:color w:val="000000"/>
              </w:rPr>
            </w:pPr>
            <w:r w:rsidRPr="00FA7BD7">
              <w:rPr>
                <w:rFonts w:eastAsia="Times New Roman"/>
                <w:color w:val="000000"/>
              </w:rPr>
              <w:t>Curves were prepared either same day or within 2 weeks of assay completion per QAPP</w:t>
            </w:r>
          </w:p>
        </w:tc>
      </w:tr>
      <w:tr w:rsidR="00FA7BD7" w:rsidRPr="00FA7BD7" w14:paraId="341C82DD" w14:textId="77777777" w:rsidTr="00FA7BD7">
        <w:trPr>
          <w:trHeight w:val="300"/>
        </w:trPr>
        <w:tc>
          <w:tcPr>
            <w:tcW w:w="9360" w:type="dxa"/>
            <w:tcBorders>
              <w:top w:val="nil"/>
              <w:left w:val="nil"/>
              <w:bottom w:val="nil"/>
              <w:right w:val="nil"/>
            </w:tcBorders>
            <w:shd w:val="clear" w:color="auto" w:fill="auto"/>
            <w:noWrap/>
            <w:vAlign w:val="bottom"/>
            <w:hideMark/>
          </w:tcPr>
          <w:p w14:paraId="16541E56" w14:textId="77777777" w:rsidR="00FA7BD7" w:rsidRPr="00FA7BD7" w:rsidRDefault="00FA7BD7" w:rsidP="00FA7BD7">
            <w:pPr>
              <w:rPr>
                <w:rFonts w:eastAsia="Times New Roman"/>
                <w:color w:val="000000"/>
              </w:rPr>
            </w:pPr>
          </w:p>
        </w:tc>
      </w:tr>
      <w:tr w:rsidR="00FA7BD7" w:rsidRPr="00FA7BD7" w14:paraId="401C3C61" w14:textId="77777777" w:rsidTr="00FA7BD7">
        <w:trPr>
          <w:trHeight w:val="300"/>
        </w:trPr>
        <w:tc>
          <w:tcPr>
            <w:tcW w:w="9360" w:type="dxa"/>
            <w:tcBorders>
              <w:top w:val="nil"/>
              <w:left w:val="nil"/>
              <w:bottom w:val="nil"/>
              <w:right w:val="nil"/>
            </w:tcBorders>
            <w:shd w:val="clear" w:color="auto" w:fill="auto"/>
            <w:noWrap/>
            <w:vAlign w:val="bottom"/>
            <w:hideMark/>
          </w:tcPr>
          <w:p w14:paraId="44D525E9" w14:textId="77777777" w:rsidR="00FA7BD7" w:rsidRPr="00FA7BD7" w:rsidRDefault="00FA7BD7" w:rsidP="00FA7BD7">
            <w:pPr>
              <w:rPr>
                <w:rFonts w:eastAsia="Times New Roman"/>
                <w:b/>
                <w:bCs/>
                <w:color w:val="000000"/>
              </w:rPr>
            </w:pPr>
            <w:r w:rsidRPr="00FA7BD7">
              <w:rPr>
                <w:rFonts w:eastAsia="Times New Roman"/>
                <w:b/>
                <w:bCs/>
                <w:color w:val="000000"/>
              </w:rPr>
              <w:t xml:space="preserve">TAB: Fu Values </w:t>
            </w:r>
          </w:p>
        </w:tc>
      </w:tr>
      <w:tr w:rsidR="00FA7BD7" w:rsidRPr="00FA7BD7" w14:paraId="7449252C" w14:textId="77777777" w:rsidTr="00FA7BD7">
        <w:trPr>
          <w:trHeight w:val="300"/>
        </w:trPr>
        <w:tc>
          <w:tcPr>
            <w:tcW w:w="9360" w:type="dxa"/>
            <w:tcBorders>
              <w:top w:val="nil"/>
              <w:left w:val="nil"/>
              <w:bottom w:val="nil"/>
              <w:right w:val="nil"/>
            </w:tcBorders>
            <w:shd w:val="clear" w:color="auto" w:fill="auto"/>
            <w:noWrap/>
            <w:vAlign w:val="bottom"/>
            <w:hideMark/>
          </w:tcPr>
          <w:p w14:paraId="16451BD3" w14:textId="77777777" w:rsidR="00FA7BD7" w:rsidRPr="00FA7BD7" w:rsidRDefault="00FA7BD7" w:rsidP="00FA7BD7">
            <w:pPr>
              <w:rPr>
                <w:rFonts w:eastAsia="Times New Roman"/>
                <w:color w:val="000000"/>
              </w:rPr>
            </w:pPr>
            <w:r w:rsidRPr="00FA7BD7">
              <w:rPr>
                <w:rFonts w:eastAsia="Times New Roman"/>
                <w:color w:val="000000"/>
              </w:rPr>
              <w:t>This is a summary of PFOA (DTXSID8031865) and K+PFOS (DTXSID8037706) with values that were generated from two different assays (for each analyte) over the last year</w:t>
            </w:r>
          </w:p>
        </w:tc>
      </w:tr>
      <w:tr w:rsidR="00FA7BD7" w:rsidRPr="00FA7BD7" w14:paraId="402E42E1" w14:textId="77777777" w:rsidTr="00FA7BD7">
        <w:trPr>
          <w:trHeight w:val="300"/>
        </w:trPr>
        <w:tc>
          <w:tcPr>
            <w:tcW w:w="9360" w:type="dxa"/>
            <w:tcBorders>
              <w:top w:val="nil"/>
              <w:left w:val="nil"/>
              <w:bottom w:val="nil"/>
              <w:right w:val="nil"/>
            </w:tcBorders>
            <w:shd w:val="clear" w:color="auto" w:fill="auto"/>
            <w:noWrap/>
            <w:vAlign w:val="bottom"/>
            <w:hideMark/>
          </w:tcPr>
          <w:p w14:paraId="3523F9AD" w14:textId="77777777" w:rsidR="00FA7BD7" w:rsidRPr="00FA7BD7" w:rsidRDefault="00FA7BD7" w:rsidP="00FA7BD7">
            <w:pPr>
              <w:rPr>
                <w:rFonts w:eastAsia="Times New Roman"/>
                <w:color w:val="000000"/>
              </w:rPr>
            </w:pPr>
            <w:r w:rsidRPr="00FA7BD7">
              <w:rPr>
                <w:rFonts w:eastAsia="Times New Roman"/>
                <w:color w:val="000000"/>
              </w:rPr>
              <w:t>Based on QAPP, %RSD should be within 25%</w:t>
            </w:r>
          </w:p>
        </w:tc>
      </w:tr>
      <w:tr w:rsidR="00FA7BD7" w:rsidRPr="00FA7BD7" w14:paraId="2EEA0F91" w14:textId="77777777" w:rsidTr="00FA7BD7">
        <w:trPr>
          <w:trHeight w:val="300"/>
        </w:trPr>
        <w:tc>
          <w:tcPr>
            <w:tcW w:w="9360" w:type="dxa"/>
            <w:tcBorders>
              <w:top w:val="nil"/>
              <w:left w:val="nil"/>
              <w:bottom w:val="nil"/>
              <w:right w:val="nil"/>
            </w:tcBorders>
            <w:shd w:val="clear" w:color="auto" w:fill="auto"/>
            <w:noWrap/>
            <w:vAlign w:val="bottom"/>
            <w:hideMark/>
          </w:tcPr>
          <w:p w14:paraId="49C89432" w14:textId="77777777" w:rsidR="00FA7BD7" w:rsidRPr="00FA7BD7" w:rsidRDefault="00FA7BD7" w:rsidP="00FA7BD7">
            <w:pPr>
              <w:rPr>
                <w:rFonts w:eastAsia="Times New Roman"/>
                <w:color w:val="000000"/>
              </w:rPr>
            </w:pPr>
            <w:r w:rsidRPr="00FA7BD7">
              <w:rPr>
                <w:rFonts w:eastAsia="Times New Roman"/>
                <w:color w:val="000000"/>
              </w:rPr>
              <w:t xml:space="preserve">I have excluded Mix2A from July 2019 for PFOS as it was </w:t>
            </w:r>
            <w:r w:rsidRPr="00FA7BD7">
              <w:rPr>
                <w:rFonts w:eastAsia="Times New Roman"/>
                <w:i/>
                <w:iCs/>
                <w:color w:val="000000"/>
              </w:rPr>
              <w:t>identified</w:t>
            </w:r>
            <w:r w:rsidRPr="00FA7BD7">
              <w:rPr>
                <w:rFonts w:eastAsia="Times New Roman"/>
                <w:color w:val="000000"/>
              </w:rPr>
              <w:t xml:space="preserve"> to be contaminated, as a more elevated reading was also noted in n-butylparaben</w:t>
            </w:r>
          </w:p>
        </w:tc>
      </w:tr>
      <w:tr w:rsidR="00FA7BD7" w:rsidRPr="00FA7BD7" w14:paraId="6A679CCE" w14:textId="77777777" w:rsidTr="00FA7BD7">
        <w:trPr>
          <w:trHeight w:val="300"/>
        </w:trPr>
        <w:tc>
          <w:tcPr>
            <w:tcW w:w="9360" w:type="dxa"/>
            <w:tcBorders>
              <w:top w:val="nil"/>
              <w:left w:val="nil"/>
              <w:bottom w:val="nil"/>
              <w:right w:val="nil"/>
            </w:tcBorders>
            <w:shd w:val="clear" w:color="auto" w:fill="auto"/>
            <w:noWrap/>
            <w:vAlign w:val="bottom"/>
            <w:hideMark/>
          </w:tcPr>
          <w:p w14:paraId="6463F980" w14:textId="77777777" w:rsidR="00FA7BD7" w:rsidRPr="00FA7BD7" w:rsidRDefault="00FA7BD7" w:rsidP="00FA7BD7">
            <w:pPr>
              <w:rPr>
                <w:rFonts w:eastAsia="Times New Roman"/>
                <w:color w:val="000000"/>
              </w:rPr>
            </w:pPr>
            <w:r w:rsidRPr="00FA7BD7">
              <w:rPr>
                <w:rFonts w:eastAsia="Times New Roman"/>
                <w:color w:val="000000"/>
              </w:rPr>
              <w:t>The Fu information for n-butylparaben associated with mixes containing these PFAS is also included</w:t>
            </w:r>
          </w:p>
        </w:tc>
      </w:tr>
      <w:tr w:rsidR="00FA7BD7" w:rsidRPr="00FA7BD7" w14:paraId="6B0DEB42" w14:textId="77777777" w:rsidTr="00FA7BD7">
        <w:trPr>
          <w:trHeight w:val="300"/>
        </w:trPr>
        <w:tc>
          <w:tcPr>
            <w:tcW w:w="9360" w:type="dxa"/>
            <w:tcBorders>
              <w:top w:val="nil"/>
              <w:left w:val="nil"/>
              <w:bottom w:val="nil"/>
              <w:right w:val="nil"/>
            </w:tcBorders>
            <w:shd w:val="clear" w:color="auto" w:fill="auto"/>
            <w:noWrap/>
            <w:vAlign w:val="bottom"/>
            <w:hideMark/>
          </w:tcPr>
          <w:p w14:paraId="23F78DF6" w14:textId="77777777" w:rsidR="00FA7BD7" w:rsidRPr="00FA7BD7" w:rsidRDefault="00FA7BD7" w:rsidP="00FA7BD7">
            <w:pPr>
              <w:rPr>
                <w:rFonts w:eastAsia="Times New Roman"/>
                <w:color w:val="000000"/>
              </w:rPr>
            </w:pPr>
          </w:p>
        </w:tc>
      </w:tr>
      <w:tr w:rsidR="00FA7BD7" w:rsidRPr="00FA7BD7" w14:paraId="0080FAB5" w14:textId="77777777" w:rsidTr="00FA7BD7">
        <w:trPr>
          <w:trHeight w:val="300"/>
        </w:trPr>
        <w:tc>
          <w:tcPr>
            <w:tcW w:w="9360" w:type="dxa"/>
            <w:tcBorders>
              <w:top w:val="nil"/>
              <w:left w:val="nil"/>
              <w:bottom w:val="nil"/>
              <w:right w:val="nil"/>
            </w:tcBorders>
            <w:shd w:val="clear" w:color="auto" w:fill="auto"/>
            <w:noWrap/>
            <w:vAlign w:val="bottom"/>
            <w:hideMark/>
          </w:tcPr>
          <w:p w14:paraId="10073B77" w14:textId="77777777" w:rsidR="00FA7BD7" w:rsidRPr="00FA7BD7" w:rsidRDefault="00FA7BD7" w:rsidP="00FA7BD7">
            <w:pPr>
              <w:rPr>
                <w:rFonts w:eastAsia="Times New Roman"/>
                <w:b/>
                <w:bCs/>
                <w:color w:val="000000"/>
              </w:rPr>
            </w:pPr>
            <w:r w:rsidRPr="00FA7BD7">
              <w:rPr>
                <w:rFonts w:eastAsia="Times New Roman"/>
                <w:b/>
                <w:bCs/>
                <w:color w:val="000000"/>
              </w:rPr>
              <w:t>LC-MS Data Interpretation-</w:t>
            </w:r>
          </w:p>
        </w:tc>
      </w:tr>
      <w:tr w:rsidR="00FA7BD7" w:rsidRPr="00FA7BD7" w14:paraId="0603369E" w14:textId="77777777" w:rsidTr="00FA7BD7">
        <w:trPr>
          <w:trHeight w:val="300"/>
        </w:trPr>
        <w:tc>
          <w:tcPr>
            <w:tcW w:w="9360" w:type="dxa"/>
            <w:tcBorders>
              <w:top w:val="nil"/>
              <w:left w:val="nil"/>
              <w:bottom w:val="nil"/>
              <w:right w:val="nil"/>
            </w:tcBorders>
            <w:shd w:val="clear" w:color="auto" w:fill="auto"/>
            <w:noWrap/>
            <w:vAlign w:val="bottom"/>
            <w:hideMark/>
          </w:tcPr>
          <w:p w14:paraId="6F1EA740" w14:textId="77777777" w:rsidR="00FA7BD7" w:rsidRPr="00FA7BD7" w:rsidRDefault="00FA7BD7" w:rsidP="00FA7BD7">
            <w:pPr>
              <w:rPr>
                <w:rFonts w:eastAsia="Times New Roman"/>
                <w:color w:val="000000"/>
              </w:rPr>
            </w:pPr>
            <w:r w:rsidRPr="00FA7BD7">
              <w:rPr>
                <w:rFonts w:eastAsia="Times New Roman"/>
                <w:color w:val="000000"/>
              </w:rPr>
              <w:t>Worklists are shown by analyte</w:t>
            </w:r>
          </w:p>
        </w:tc>
      </w:tr>
      <w:tr w:rsidR="00FA7BD7" w:rsidRPr="00FA7BD7" w14:paraId="41478F2F" w14:textId="77777777" w:rsidTr="00FA7BD7">
        <w:trPr>
          <w:trHeight w:val="300"/>
        </w:trPr>
        <w:tc>
          <w:tcPr>
            <w:tcW w:w="9360" w:type="dxa"/>
            <w:tcBorders>
              <w:top w:val="nil"/>
              <w:left w:val="nil"/>
              <w:bottom w:val="nil"/>
              <w:right w:val="nil"/>
            </w:tcBorders>
            <w:shd w:val="clear" w:color="auto" w:fill="auto"/>
            <w:noWrap/>
            <w:vAlign w:val="bottom"/>
            <w:hideMark/>
          </w:tcPr>
          <w:p w14:paraId="44530DDC" w14:textId="77777777" w:rsidR="00FA7BD7" w:rsidRPr="00FA7BD7" w:rsidRDefault="00FA7BD7" w:rsidP="00FA7BD7">
            <w:pPr>
              <w:rPr>
                <w:rFonts w:eastAsia="Times New Roman"/>
                <w:color w:val="000000"/>
              </w:rPr>
            </w:pPr>
            <w:r w:rsidRPr="00FA7BD7">
              <w:rPr>
                <w:rFonts w:eastAsia="Times New Roman"/>
                <w:color w:val="000000"/>
              </w:rPr>
              <w:t>LC-MS method that was run included examining all analytes across all samples</w:t>
            </w:r>
          </w:p>
        </w:tc>
      </w:tr>
      <w:tr w:rsidR="00FA7BD7" w:rsidRPr="00FA7BD7" w14:paraId="2929DE88" w14:textId="77777777" w:rsidTr="00FA7BD7">
        <w:trPr>
          <w:trHeight w:val="300"/>
        </w:trPr>
        <w:tc>
          <w:tcPr>
            <w:tcW w:w="9360" w:type="dxa"/>
            <w:tcBorders>
              <w:top w:val="nil"/>
              <w:left w:val="nil"/>
              <w:bottom w:val="nil"/>
              <w:right w:val="nil"/>
            </w:tcBorders>
            <w:shd w:val="clear" w:color="auto" w:fill="auto"/>
            <w:noWrap/>
            <w:vAlign w:val="bottom"/>
            <w:hideMark/>
          </w:tcPr>
          <w:p w14:paraId="714CC4E1" w14:textId="77777777" w:rsidR="00FA7BD7" w:rsidRPr="00FA7BD7" w:rsidRDefault="00FA7BD7" w:rsidP="00FA7BD7">
            <w:pPr>
              <w:rPr>
                <w:rFonts w:eastAsia="Times New Roman"/>
                <w:color w:val="000000"/>
              </w:rPr>
            </w:pPr>
            <w:r w:rsidRPr="00FA7BD7">
              <w:rPr>
                <w:rFonts w:eastAsia="Times New Roman"/>
                <w:color w:val="000000"/>
              </w:rPr>
              <w:t xml:space="preserve">Calibration curves were fit to a quadratic equation with 1/X weighting and an output of the curve for each analyte is shown on side of the data for that </w:t>
            </w:r>
            <w:proofErr w:type="gramStart"/>
            <w:r w:rsidRPr="00FA7BD7">
              <w:rPr>
                <w:rFonts w:eastAsia="Times New Roman"/>
                <w:color w:val="000000"/>
              </w:rPr>
              <w:t>particular PFAS</w:t>
            </w:r>
            <w:proofErr w:type="gramEnd"/>
          </w:p>
        </w:tc>
      </w:tr>
      <w:tr w:rsidR="00FA7BD7" w:rsidRPr="00FA7BD7" w14:paraId="3D82AFAB" w14:textId="77777777" w:rsidTr="00FA7BD7">
        <w:trPr>
          <w:trHeight w:val="300"/>
        </w:trPr>
        <w:tc>
          <w:tcPr>
            <w:tcW w:w="9360" w:type="dxa"/>
            <w:tcBorders>
              <w:top w:val="nil"/>
              <w:left w:val="nil"/>
              <w:bottom w:val="nil"/>
              <w:right w:val="nil"/>
            </w:tcBorders>
            <w:shd w:val="clear" w:color="auto" w:fill="auto"/>
            <w:noWrap/>
            <w:vAlign w:val="bottom"/>
            <w:hideMark/>
          </w:tcPr>
          <w:p w14:paraId="464AC55F" w14:textId="77777777" w:rsidR="00FA7BD7" w:rsidRPr="00FA7BD7" w:rsidRDefault="00FA7BD7" w:rsidP="00FA7BD7">
            <w:pPr>
              <w:rPr>
                <w:rFonts w:eastAsia="Times New Roman"/>
                <w:color w:val="000000"/>
              </w:rPr>
            </w:pPr>
            <w:r w:rsidRPr="00FA7BD7">
              <w:rPr>
                <w:rFonts w:eastAsia="Times New Roman"/>
                <w:color w:val="000000"/>
              </w:rPr>
              <w:lastRenderedPageBreak/>
              <w:t>Internal standards were assigned based on similarity to PFAS or elution time</w:t>
            </w:r>
          </w:p>
        </w:tc>
      </w:tr>
      <w:tr w:rsidR="00FA7BD7" w:rsidRPr="00FA7BD7" w14:paraId="05A54E68" w14:textId="77777777" w:rsidTr="00FA7BD7">
        <w:trPr>
          <w:trHeight w:val="300"/>
        </w:trPr>
        <w:tc>
          <w:tcPr>
            <w:tcW w:w="9360" w:type="dxa"/>
            <w:tcBorders>
              <w:top w:val="nil"/>
              <w:left w:val="nil"/>
              <w:bottom w:val="nil"/>
              <w:right w:val="nil"/>
            </w:tcBorders>
            <w:shd w:val="clear" w:color="auto" w:fill="auto"/>
            <w:noWrap/>
            <w:vAlign w:val="bottom"/>
            <w:hideMark/>
          </w:tcPr>
          <w:p w14:paraId="599A0B03" w14:textId="77777777" w:rsidR="00FA7BD7" w:rsidRPr="00FA7BD7" w:rsidRDefault="00FA7BD7" w:rsidP="00FA7BD7">
            <w:pPr>
              <w:rPr>
                <w:rFonts w:eastAsia="Times New Roman"/>
                <w:color w:val="000000"/>
              </w:rPr>
            </w:pPr>
            <w:r w:rsidRPr="00FA7BD7">
              <w:rPr>
                <w:rFonts w:eastAsia="Times New Roman"/>
                <w:color w:val="000000"/>
              </w:rPr>
              <w:t>Sample text provides a description of the sample; CC = calibration curve, QC = quality control, UC_UF = unbound fraction, UC_T# = plasma stability time point</w:t>
            </w:r>
          </w:p>
        </w:tc>
      </w:tr>
      <w:tr w:rsidR="00FA7BD7" w:rsidRPr="00FA7BD7" w14:paraId="51518722" w14:textId="77777777" w:rsidTr="00FA7BD7">
        <w:trPr>
          <w:trHeight w:val="300"/>
        </w:trPr>
        <w:tc>
          <w:tcPr>
            <w:tcW w:w="9360" w:type="dxa"/>
            <w:tcBorders>
              <w:top w:val="nil"/>
              <w:left w:val="nil"/>
              <w:bottom w:val="nil"/>
              <w:right w:val="nil"/>
            </w:tcBorders>
            <w:shd w:val="clear" w:color="auto" w:fill="auto"/>
            <w:noWrap/>
            <w:vAlign w:val="bottom"/>
            <w:hideMark/>
          </w:tcPr>
          <w:p w14:paraId="31BD96DE" w14:textId="77777777" w:rsidR="00FA7BD7" w:rsidRPr="00FA7BD7" w:rsidRDefault="00FA7BD7" w:rsidP="00FA7BD7">
            <w:pPr>
              <w:rPr>
                <w:rFonts w:eastAsia="Times New Roman"/>
                <w:color w:val="000000"/>
              </w:rPr>
            </w:pPr>
            <w:r w:rsidRPr="00FA7BD7">
              <w:rPr>
                <w:rFonts w:eastAsia="Times New Roman"/>
                <w:color w:val="000000"/>
              </w:rPr>
              <w:t>RT = retention time; response = (peak area analyte/peak area internal standard) * internal standard concentration</w:t>
            </w:r>
          </w:p>
        </w:tc>
      </w:tr>
      <w:tr w:rsidR="00FA7BD7" w:rsidRPr="00FA7BD7" w14:paraId="5D4FD12E" w14:textId="77777777" w:rsidTr="00FA7BD7">
        <w:trPr>
          <w:trHeight w:val="300"/>
        </w:trPr>
        <w:tc>
          <w:tcPr>
            <w:tcW w:w="9360" w:type="dxa"/>
            <w:tcBorders>
              <w:top w:val="nil"/>
              <w:left w:val="nil"/>
              <w:bottom w:val="nil"/>
              <w:right w:val="nil"/>
            </w:tcBorders>
            <w:shd w:val="clear" w:color="auto" w:fill="auto"/>
            <w:noWrap/>
            <w:vAlign w:val="bottom"/>
            <w:hideMark/>
          </w:tcPr>
          <w:p w14:paraId="3FB9FDF1" w14:textId="77777777" w:rsidR="00FA7BD7" w:rsidRPr="00FA7BD7" w:rsidRDefault="00FA7BD7" w:rsidP="00FA7BD7">
            <w:pPr>
              <w:rPr>
                <w:rFonts w:eastAsia="Times New Roman"/>
                <w:color w:val="000000"/>
              </w:rPr>
            </w:pPr>
            <w:r w:rsidRPr="00FA7BD7">
              <w:rPr>
                <w:rFonts w:eastAsia="Times New Roman"/>
                <w:color w:val="000000"/>
              </w:rPr>
              <w:t xml:space="preserve">Std. conc = theoretical concentration; </w:t>
            </w:r>
            <w:proofErr w:type="spellStart"/>
            <w:r w:rsidRPr="00FA7BD7">
              <w:rPr>
                <w:rFonts w:eastAsia="Times New Roman"/>
                <w:color w:val="000000"/>
              </w:rPr>
              <w:t>uM</w:t>
            </w:r>
            <w:proofErr w:type="spellEnd"/>
            <w:r w:rsidRPr="00FA7BD7">
              <w:rPr>
                <w:rFonts w:eastAsia="Times New Roman"/>
                <w:color w:val="000000"/>
              </w:rPr>
              <w:t xml:space="preserve"> = actual concentration</w:t>
            </w:r>
          </w:p>
        </w:tc>
      </w:tr>
      <w:tr w:rsidR="00FA7BD7" w:rsidRPr="00FA7BD7" w14:paraId="7EFB9795" w14:textId="77777777" w:rsidTr="00FA7BD7">
        <w:trPr>
          <w:trHeight w:val="300"/>
        </w:trPr>
        <w:tc>
          <w:tcPr>
            <w:tcW w:w="9360" w:type="dxa"/>
            <w:tcBorders>
              <w:top w:val="nil"/>
              <w:left w:val="nil"/>
              <w:bottom w:val="nil"/>
              <w:right w:val="nil"/>
            </w:tcBorders>
            <w:shd w:val="clear" w:color="auto" w:fill="auto"/>
            <w:noWrap/>
            <w:vAlign w:val="bottom"/>
            <w:hideMark/>
          </w:tcPr>
          <w:p w14:paraId="5A18A840" w14:textId="77777777" w:rsidR="00FA7BD7" w:rsidRPr="00FA7BD7" w:rsidRDefault="00FA7BD7" w:rsidP="00FA7BD7">
            <w:pPr>
              <w:rPr>
                <w:rFonts w:eastAsia="Times New Roman"/>
                <w:color w:val="000000"/>
              </w:rPr>
            </w:pPr>
            <w:r w:rsidRPr="00FA7BD7">
              <w:rPr>
                <w:rFonts w:eastAsia="Times New Roman"/>
                <w:color w:val="000000"/>
              </w:rPr>
              <w:t>(there's lots of other parameters that can be inputted too if interested to learn what those are)</w:t>
            </w:r>
          </w:p>
        </w:tc>
      </w:tr>
    </w:tbl>
    <w:p w14:paraId="4E370FE3" w14:textId="77777777" w:rsidR="00FA7BD7" w:rsidRDefault="00FA7BD7" w:rsidP="0033788D"/>
    <w:p w14:paraId="30A43EC2" w14:textId="0EAED257" w:rsidR="002D52FB" w:rsidRDefault="002D52FB" w:rsidP="002D52FB">
      <w:pPr>
        <w:pStyle w:val="Heading3"/>
      </w:pPr>
      <w:r>
        <w:t>Blood to Plasma Ratio</w:t>
      </w:r>
    </w:p>
    <w:p w14:paraId="63C80DAC" w14:textId="0CC176EC" w:rsidR="002D52FB" w:rsidRDefault="002D52FB" w:rsidP="0033788D"/>
    <w:p w14:paraId="74FC03BD" w14:textId="17EC5A4A" w:rsidR="002D52FB" w:rsidRDefault="002D52FB" w:rsidP="0033788D">
      <w:r>
        <w:t>Ratio of chemical concentration in blood to chemical concentration in plasma</w:t>
      </w:r>
    </w:p>
    <w:p w14:paraId="6150960F" w14:textId="6B999ABC" w:rsidR="002D52FB" w:rsidRDefault="002D52FB" w:rsidP="0033788D"/>
    <w:p w14:paraId="7ED1FD9A" w14:textId="613C626D" w:rsidR="002D52FB" w:rsidRDefault="002D52FB" w:rsidP="002D52FB">
      <w:pPr>
        <w:pStyle w:val="Heading3"/>
      </w:pPr>
      <w:r>
        <w:t>Caco2 Permeability</w:t>
      </w:r>
    </w:p>
    <w:p w14:paraId="6498D2CD" w14:textId="55DBEF31" w:rsidR="002D52FB" w:rsidRDefault="002D52FB" w:rsidP="0033788D"/>
    <w:p w14:paraId="71741A24" w14:textId="7C7B7D2D" w:rsidR="002D52FB" w:rsidRDefault="002D52FB" w:rsidP="0033788D">
      <w:r>
        <w:t>Rate of movement of the chemical through a cellular membrane</w:t>
      </w:r>
    </w:p>
    <w:p w14:paraId="3DDDFD3A" w14:textId="375574DE" w:rsidR="005C399E" w:rsidRDefault="005C399E" w:rsidP="003B74C7"/>
    <w:p w14:paraId="0F0D2266" w14:textId="77777777" w:rsidR="004926EB" w:rsidRDefault="004926EB">
      <w:pPr>
        <w:spacing w:after="160" w:line="259" w:lineRule="auto"/>
        <w:rPr>
          <w:rFonts w:asciiTheme="majorHAnsi" w:eastAsiaTheme="majorEastAsia" w:hAnsiTheme="majorHAnsi" w:cstheme="majorBidi"/>
          <w:color w:val="2F5496" w:themeColor="accent1" w:themeShade="BF"/>
          <w:sz w:val="26"/>
          <w:szCs w:val="26"/>
        </w:rPr>
      </w:pPr>
      <w:r>
        <w:br w:type="page"/>
      </w:r>
    </w:p>
    <w:p w14:paraId="4BBF8923" w14:textId="2D757B6F" w:rsidR="002D52FB" w:rsidRDefault="002D52FB" w:rsidP="002D52FB">
      <w:pPr>
        <w:pStyle w:val="Heading2"/>
      </w:pPr>
      <w:r>
        <w:lastRenderedPageBreak/>
        <w:t>Mass Spectrometry Chemical Analysis</w:t>
      </w:r>
    </w:p>
    <w:p w14:paraId="64712EEE" w14:textId="5EED58D6" w:rsidR="002D52FB" w:rsidRDefault="002D52FB" w:rsidP="002D52FB"/>
    <w:p w14:paraId="02A24261" w14:textId="299C1282" w:rsidR="002D52FB" w:rsidRDefault="002D52FB" w:rsidP="002D52FB">
      <w:r>
        <w:t>The HTTK in vitro assays need to measure differences in chemical concentration. Analytical chemistry via mass spectrometry is a technique used to determine chemical concentration. Mass spectrometers determine a “peak” whose area is proportionate to a chemical of a certain mass in a sample. An</w:t>
      </w:r>
    </w:p>
    <w:p w14:paraId="4F7E32F2" w14:textId="6A7094DB" w:rsidR="002D52FB" w:rsidRDefault="002D52FB" w:rsidP="002D52FB">
      <w:r>
        <w:t xml:space="preserve"> internal standard (ITSD) at a known, fixed concentration is added to the sample –its area fluctuates somewhat with time. The analytical chemist finds the peak that corresponds to </w:t>
      </w:r>
      <w:r w:rsidR="00A13435">
        <w:t xml:space="preserve">the </w:t>
      </w:r>
      <w:r>
        <w:t>chemical of interest, and then follow</w:t>
      </w:r>
      <w:r w:rsidR="00A13435">
        <w:t>s</w:t>
      </w:r>
      <w:r>
        <w:t xml:space="preserve"> the ratio R of the area of the chemical peak to the area of the ITSD peak to determine concentration.</w:t>
      </w:r>
    </w:p>
    <w:p w14:paraId="71CFF105" w14:textId="515E417B" w:rsidR="008721F7" w:rsidRDefault="008721F7" w:rsidP="002D52FB"/>
    <w:p w14:paraId="37754EA6" w14:textId="315CFEAB" w:rsidR="002D52FB" w:rsidRDefault="00A23A93" w:rsidP="00A23A93">
      <w:pPr>
        <w:jc w:val="center"/>
      </w:pPr>
      <w:r>
        <w:rPr>
          <w:noProof/>
        </w:rPr>
        <w:drawing>
          <wp:inline distT="0" distB="0" distL="0" distR="0" wp14:anchorId="1154B74B" wp14:editId="4E7F42C9">
            <wp:extent cx="2112237" cy="2652458"/>
            <wp:effectExtent l="0" t="0" r="2540" b="0"/>
            <wp:docPr id="381307808" name="Picture 3813078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116385" cy="2657667"/>
                    </a:xfrm>
                    <a:prstGeom prst="rect">
                      <a:avLst/>
                    </a:prstGeom>
                    <a:noFill/>
                  </pic:spPr>
                </pic:pic>
              </a:graphicData>
            </a:graphic>
          </wp:inline>
        </w:drawing>
      </w:r>
    </w:p>
    <w:p w14:paraId="57A2A390" w14:textId="4864EB6C" w:rsidR="008F3DE8" w:rsidRDefault="008F3DE8" w:rsidP="008F3DE8">
      <w:pPr>
        <w:pStyle w:val="Caption"/>
      </w:pPr>
      <w:r>
        <w:t xml:space="preserve">Figure </w:t>
      </w:r>
      <w:r w:rsidR="00FB701E">
        <w:fldChar w:fldCharType="begin"/>
      </w:r>
      <w:r w:rsidR="00FB701E">
        <w:instrText xml:space="preserve"> SEQ Figure \* ARABIC </w:instrText>
      </w:r>
      <w:r w:rsidR="00FB701E">
        <w:fldChar w:fldCharType="separate"/>
      </w:r>
      <w:r>
        <w:rPr>
          <w:noProof/>
        </w:rPr>
        <w:t>1</w:t>
      </w:r>
      <w:r w:rsidR="00FB701E">
        <w:rPr>
          <w:noProof/>
        </w:rPr>
        <w:fldChar w:fldCharType="end"/>
      </w:r>
      <w:r w:rsidR="008721F7">
        <w:t>: While the internal standard is always selected such that the mass spectrometer has a clear signal, the analyte being studied in that sample may have a less than optimal signal.</w:t>
      </w:r>
    </w:p>
    <w:p w14:paraId="695FF036" w14:textId="77777777" w:rsidR="002D52FB" w:rsidRDefault="002D52FB" w:rsidP="002D52FB"/>
    <w:p w14:paraId="1F465AA5" w14:textId="77777777" w:rsidR="008721F7" w:rsidRDefault="008721F7" w:rsidP="008721F7">
      <w:r>
        <w:t>There are many types of mass spectrometry, including liquid chromatography (LC/MS) and gas chromatography (GC/MS). Different chemical structures may be detectable by multiple methods, one method, or none. Further, mass spectrometry varies significantly by the specific equipment used and the techniques for amplifying or selecting certain chemical signals.</w:t>
      </w:r>
    </w:p>
    <w:p w14:paraId="30E4FB74" w14:textId="592DE5A6" w:rsidR="002D52FB" w:rsidRDefault="002D52FB" w:rsidP="002D52FB">
      <w:pPr>
        <w:jc w:val="center"/>
      </w:pPr>
    </w:p>
    <w:p w14:paraId="7CB7C7C8" w14:textId="46D3EA79" w:rsidR="003B74C7" w:rsidRDefault="003B74C7" w:rsidP="003B74C7">
      <w:r>
        <w:t xml:space="preserve">Samples for mass spectrometry are diluted to keep the analyte signal at a reasonable value and separate out signal from the background. The number of times that a sample is diluted is the “dilution factor”. </w:t>
      </w:r>
      <w:r>
        <w:t xml:space="preserve">The dilution factors account for the background “noise” introduced by different matrices in the sample. For instance, in the RED assay we have samples that are just in phosphate-buffered </w:t>
      </w:r>
      <w:r>
        <w:t>solution</w:t>
      </w:r>
      <w:r>
        <w:t xml:space="preserve"> vs samples that also have plasma added. We dilute the plasma samples more to try to lower the background introduced by all the different materials in the plasma.</w:t>
      </w:r>
      <w:r>
        <w:t xml:space="preserve"> </w:t>
      </w:r>
      <w:r>
        <w:t xml:space="preserve">For Clint most </w:t>
      </w:r>
      <w:r>
        <w:t>all</w:t>
      </w:r>
      <w:r>
        <w:t xml:space="preserve"> the samples have the same background – hepatocytes</w:t>
      </w:r>
      <w:r>
        <w:t xml:space="preserve"> -- s</w:t>
      </w:r>
      <w:r>
        <w:t>o we dilute them all the same amount.</w:t>
      </w:r>
    </w:p>
    <w:p w14:paraId="6F51148D" w14:textId="148E6B1F" w:rsidR="002D52FB" w:rsidRDefault="002D52FB" w:rsidP="002D52FB"/>
    <w:p w14:paraId="3780A02D" w14:textId="77777777" w:rsidR="00A23A93" w:rsidRDefault="00A23A93" w:rsidP="003B74C7"/>
    <w:p w14:paraId="00310DA6" w14:textId="77777777" w:rsidR="004926EB" w:rsidRDefault="004926EB">
      <w:pPr>
        <w:spacing w:after="160" w:line="259" w:lineRule="auto"/>
        <w:rPr>
          <w:rFonts w:asciiTheme="majorHAnsi" w:eastAsiaTheme="majorEastAsia" w:hAnsiTheme="majorHAnsi" w:cstheme="majorBidi"/>
          <w:color w:val="2F5496" w:themeColor="accent1" w:themeShade="BF"/>
          <w:sz w:val="26"/>
          <w:szCs w:val="26"/>
        </w:rPr>
      </w:pPr>
      <w:r>
        <w:br w:type="page"/>
      </w:r>
    </w:p>
    <w:p w14:paraId="2B1DE9F5" w14:textId="05ED6B11" w:rsidR="00A23A93" w:rsidRDefault="00A23A93" w:rsidP="009030CE">
      <w:pPr>
        <w:pStyle w:val="Heading2"/>
      </w:pPr>
      <w:bookmarkStart w:id="2" w:name="_GoBack"/>
      <w:bookmarkEnd w:id="2"/>
      <w:r>
        <w:lastRenderedPageBreak/>
        <w:t>Date Generation and Delivery</w:t>
      </w:r>
    </w:p>
    <w:p w14:paraId="5360AADB" w14:textId="77777777" w:rsidR="008F3DE8" w:rsidRDefault="008F3DE8" w:rsidP="008F3DE8">
      <w:pPr>
        <w:rPr>
          <w:rFonts w:asciiTheme="minorHAnsi" w:hAnsiTheme="minorHAnsi" w:cstheme="minorHAnsi"/>
        </w:rPr>
      </w:pPr>
    </w:p>
    <w:p w14:paraId="6FAFEEDE" w14:textId="423C630F" w:rsidR="008F3DE8" w:rsidRDefault="008F3DE8" w:rsidP="008F3DE8">
      <w:pPr>
        <w:rPr>
          <w:rFonts w:asciiTheme="minorHAnsi" w:hAnsiTheme="minorHAnsi" w:cstheme="minorHAnsi"/>
        </w:rPr>
      </w:pPr>
      <w:r>
        <w:rPr>
          <w:rFonts w:asciiTheme="minorHAnsi" w:hAnsiTheme="minorHAnsi" w:cstheme="minorHAnsi"/>
        </w:rPr>
        <w:t>In vitro data for HTTK are being generated in many places. Dr. Wetmore’s laboratory in the Center for Computational Toxicology and Exposure in the EPA’s Office of Research and Development (ORD) is a primary example. ORD also has many collaborators who either generate the data themselves or employ contractors to do so.</w:t>
      </w:r>
    </w:p>
    <w:p w14:paraId="7B515887" w14:textId="77777777" w:rsidR="008F3DE8" w:rsidRDefault="008F3DE8" w:rsidP="008F3DE8">
      <w:pPr>
        <w:rPr>
          <w:rFonts w:asciiTheme="minorHAnsi" w:hAnsiTheme="minorHAnsi" w:cstheme="minorHAnsi"/>
        </w:rPr>
      </w:pPr>
    </w:p>
    <w:p w14:paraId="734CC1EB" w14:textId="4BBD2A3B" w:rsidR="008F3DE8" w:rsidRPr="009030CE" w:rsidRDefault="008F3DE8" w:rsidP="008F3DE8">
      <w:pPr>
        <w:rPr>
          <w:rFonts w:asciiTheme="minorHAnsi" w:hAnsiTheme="minorHAnsi" w:cstheme="minorHAnsi"/>
        </w:rPr>
      </w:pPr>
      <w:r>
        <w:rPr>
          <w:rFonts w:asciiTheme="minorHAnsi" w:hAnsiTheme="minorHAnsi" w:cstheme="minorHAnsi"/>
        </w:rPr>
        <w:t>Cyprotex (</w:t>
      </w:r>
      <w:hyperlink r:id="rId14" w:history="1">
        <w:r>
          <w:rPr>
            <w:rStyle w:val="Hyperlink"/>
          </w:rPr>
          <w:t>https://www.cyprotex.com/admepk</w:t>
        </w:r>
      </w:hyperlink>
      <w:r>
        <w:t>) is currently under contract to ORD to provide these data. EPA issues “task orders” (TOs) specifying a list of chemicals (typically 100-200) and in vitro TK properties to be measured. EPA provides chemical samples to the contractor. The chemical samples are from the ToxCast chemical library. Each sample is assigned a unique identifier by the ToxCast chemical library curators.</w:t>
      </w:r>
    </w:p>
    <w:p w14:paraId="042D4081" w14:textId="57104497" w:rsidR="00A23A93" w:rsidRDefault="00A23A93" w:rsidP="00A23A93"/>
    <w:p w14:paraId="262449BF" w14:textId="57D5167E" w:rsidR="00A23A93" w:rsidRDefault="008F3DE8" w:rsidP="00A23A93">
      <w:r>
        <w:t>Data is typically delivered to us as a Microsoft Excel workbook (.xlsx file). These files often have multiple sheets. The generator may have placed summary data on some sheets and raw data on others.</w:t>
      </w:r>
    </w:p>
    <w:p w14:paraId="600B8386" w14:textId="3309FFF0" w:rsidR="00A23A93" w:rsidRDefault="00A23A93" w:rsidP="00A23A93"/>
    <w:p w14:paraId="21AC603F" w14:textId="27D4FBF3" w:rsidR="008F3DE8" w:rsidRDefault="008F3DE8" w:rsidP="00A23A93">
      <w:r>
        <w:t>It can take many months to generate the data on several hundred chemicals, so the data from a single task order may arrive in batches.</w:t>
      </w:r>
    </w:p>
    <w:p w14:paraId="13809E3D" w14:textId="77777777" w:rsidR="008F3DE8" w:rsidRPr="00A23A93" w:rsidRDefault="008F3DE8" w:rsidP="00A23A93"/>
    <w:p w14:paraId="0E442E29" w14:textId="77777777" w:rsidR="00A23A93" w:rsidRDefault="00A23A93" w:rsidP="00A23A93">
      <w:pPr>
        <w:pStyle w:val="Heading2"/>
      </w:pPr>
      <w:r>
        <w:t>Data Organization and Analysis</w:t>
      </w:r>
    </w:p>
    <w:p w14:paraId="50503CC5" w14:textId="77777777" w:rsidR="008721F7" w:rsidRDefault="008721F7" w:rsidP="008721F7"/>
    <w:p w14:paraId="1B78A721" w14:textId="7FFAC348" w:rsidR="008721F7" w:rsidRDefault="008721F7" w:rsidP="008721F7">
      <w:r w:rsidRPr="008F3DE8">
        <w:t xml:space="preserve">Raw data </w:t>
      </w:r>
      <w:r>
        <w:t xml:space="preserve">consists of </w:t>
      </w:r>
      <w:r w:rsidRPr="008F3DE8">
        <w:t>peak area</w:t>
      </w:r>
      <w:r>
        <w:t>s</w:t>
      </w:r>
      <w:r w:rsidRPr="008F3DE8">
        <w:t xml:space="preserve"> from mass spec</w:t>
      </w:r>
      <w:r>
        <w:t xml:space="preserve"> for the chemical under study </w:t>
      </w:r>
      <w:r w:rsidRPr="008F3DE8">
        <w:t xml:space="preserve">and </w:t>
      </w:r>
      <w:r>
        <w:t xml:space="preserve">the </w:t>
      </w:r>
      <w:r w:rsidRPr="008F3DE8">
        <w:t xml:space="preserve">ISTD. We use the </w:t>
      </w:r>
      <w:r>
        <w:t>“</w:t>
      </w:r>
      <w:r w:rsidRPr="008F3DE8">
        <w:t>ISTD ratio</w:t>
      </w:r>
      <w:r>
        <w:t>” ratio of analyte peak area to internal standard peak area</w:t>
      </w:r>
      <w:r w:rsidRPr="008F3DE8">
        <w:t>.</w:t>
      </w:r>
    </w:p>
    <w:p w14:paraId="68ABA05A" w14:textId="49395E76" w:rsidR="00A23A93" w:rsidRDefault="00A23A93" w:rsidP="003B74C7"/>
    <w:p w14:paraId="38E9AC76" w14:textId="7789EB4D" w:rsidR="008721F7" w:rsidRDefault="008721F7" w:rsidP="008721F7"/>
    <w:p w14:paraId="0114F145" w14:textId="77777777" w:rsidR="008721F7" w:rsidRPr="008721F7" w:rsidRDefault="008721F7" w:rsidP="008721F7"/>
    <w:tbl>
      <w:tblPr>
        <w:tblStyle w:val="TableGrid"/>
        <w:tblW w:w="0" w:type="auto"/>
        <w:tblLook w:val="04A0" w:firstRow="1" w:lastRow="0" w:firstColumn="1" w:lastColumn="0" w:noHBand="0" w:noVBand="1"/>
      </w:tblPr>
      <w:tblGrid>
        <w:gridCol w:w="3116"/>
        <w:gridCol w:w="3117"/>
        <w:gridCol w:w="3117"/>
      </w:tblGrid>
      <w:tr w:rsidR="00A23A93" w14:paraId="3AC5E64B" w14:textId="77777777" w:rsidTr="00A23A93">
        <w:tc>
          <w:tcPr>
            <w:tcW w:w="3116" w:type="dxa"/>
          </w:tcPr>
          <w:p w14:paraId="39D3B317" w14:textId="42E2769D" w:rsidR="00A23A93" w:rsidRDefault="00A23A93" w:rsidP="00A23A93">
            <w:r>
              <w:t>Level 0</w:t>
            </w:r>
          </w:p>
        </w:tc>
        <w:tc>
          <w:tcPr>
            <w:tcW w:w="3117" w:type="dxa"/>
          </w:tcPr>
          <w:p w14:paraId="098A3DD8" w14:textId="3A856B32" w:rsidR="00A23A93" w:rsidRDefault="00A23A93" w:rsidP="00A23A93">
            <w:r>
              <w:t xml:space="preserve">Data </w:t>
            </w:r>
            <w:proofErr w:type="gramStart"/>
            <w:r>
              <w:t>As</w:t>
            </w:r>
            <w:proofErr w:type="gramEnd"/>
            <w:r>
              <w:t xml:space="preserve"> Provided by the Data Generator</w:t>
            </w:r>
          </w:p>
        </w:tc>
        <w:tc>
          <w:tcPr>
            <w:tcW w:w="3117" w:type="dxa"/>
          </w:tcPr>
          <w:p w14:paraId="17733BB2" w14:textId="5BD1436F" w:rsidR="00A23A93" w:rsidRDefault="00A23A93" w:rsidP="00A23A93">
            <w:r>
              <w:t>Initially in primary data set director (such as “TO1”) then moved to “processed” sub-directory once added to raw file.</w:t>
            </w:r>
          </w:p>
        </w:tc>
      </w:tr>
      <w:tr w:rsidR="00A23A93" w14:paraId="08CDDC1D" w14:textId="77777777" w:rsidTr="00A23A93">
        <w:tc>
          <w:tcPr>
            <w:tcW w:w="3116" w:type="dxa"/>
          </w:tcPr>
          <w:p w14:paraId="5520A1CA" w14:textId="4C4843D9" w:rsidR="00A23A93" w:rsidRDefault="00A23A93" w:rsidP="00A23A93">
            <w:r>
              <w:t>Level 1</w:t>
            </w:r>
          </w:p>
        </w:tc>
        <w:tc>
          <w:tcPr>
            <w:tcW w:w="3117" w:type="dxa"/>
          </w:tcPr>
          <w:p w14:paraId="5FEB945A" w14:textId="2870C892" w:rsidR="00A23A93" w:rsidRDefault="00A23A93" w:rsidP="00A23A93">
            <w:r>
              <w:t>Data Organized into Standardized “Raw” Files</w:t>
            </w:r>
          </w:p>
        </w:tc>
        <w:tc>
          <w:tcPr>
            <w:tcW w:w="3117" w:type="dxa"/>
          </w:tcPr>
          <w:p w14:paraId="6BA735F5" w14:textId="6DEBB453" w:rsidR="00A23A93" w:rsidRDefault="00A23A93" w:rsidP="00A23A93">
            <w:r>
              <w:t>A single file for each data type with standardized columns.</w:t>
            </w:r>
          </w:p>
        </w:tc>
      </w:tr>
      <w:tr w:rsidR="00A23A93" w14:paraId="12DDC9AC" w14:textId="77777777" w:rsidTr="00A23A93">
        <w:tc>
          <w:tcPr>
            <w:tcW w:w="3116" w:type="dxa"/>
          </w:tcPr>
          <w:p w14:paraId="5C81EB6C" w14:textId="619CF03E" w:rsidR="00A23A93" w:rsidRDefault="00A23A93" w:rsidP="00A23A93">
            <w:r>
              <w:t>Level 2+</w:t>
            </w:r>
          </w:p>
        </w:tc>
        <w:tc>
          <w:tcPr>
            <w:tcW w:w="3117" w:type="dxa"/>
          </w:tcPr>
          <w:p w14:paraId="7F31727C" w14:textId="602D7C9E" w:rsidR="00A23A93" w:rsidRDefault="00A23A93" w:rsidP="00A23A93">
            <w:r>
              <w:t>Results of Statistical Analyses of Data</w:t>
            </w:r>
          </w:p>
        </w:tc>
        <w:tc>
          <w:tcPr>
            <w:tcW w:w="3117" w:type="dxa"/>
          </w:tcPr>
          <w:p w14:paraId="2702009A" w14:textId="48F9E8B7" w:rsidR="00A23A93" w:rsidRDefault="00A23A93" w:rsidP="00A23A93">
            <w:r>
              <w:t>Often ends up reported as tables in scientific papers. Typically added into R package “httk”.</w:t>
            </w:r>
          </w:p>
        </w:tc>
      </w:tr>
    </w:tbl>
    <w:p w14:paraId="5D21E404" w14:textId="77777777" w:rsidR="00A23A93" w:rsidRDefault="00A23A93" w:rsidP="00A23A93"/>
    <w:p w14:paraId="4C996C1E" w14:textId="4A9E4977" w:rsidR="00A23A93" w:rsidRDefault="00A23A93" w:rsidP="00A23A93">
      <w:r>
        <w:t xml:space="preserve">Laboratories typically do their own analyses of their data for quality management. They may refer to this as the data “Summary” since it draws from many raw mass spectrometry data measurements. However, once we have the </w:t>
      </w:r>
      <w:proofErr w:type="gramStart"/>
      <w:r>
        <w:t>data</w:t>
      </w:r>
      <w:proofErr w:type="gramEnd"/>
      <w:r>
        <w:t xml:space="preserve"> we do our own analysis of the raw data and typically discard the summary from the data generator. The algorithms used for analysis generate new summary numbers (level 2) using multiple different approaches. </w:t>
      </w:r>
      <w:proofErr w:type="gramStart"/>
      <w:r>
        <w:t>In particular, we</w:t>
      </w:r>
      <w:proofErr w:type="gramEnd"/>
      <w:r>
        <w:t xml:space="preserve"> use a Bayesian framework that includes a model for </w:t>
      </w:r>
      <w:r>
        <w:lastRenderedPageBreak/>
        <w:t>analytical chemistry</w:t>
      </w:r>
      <w:r w:rsidR="008F3DE8">
        <w:rPr>
          <w:rStyle w:val="FootnoteReference"/>
        </w:rPr>
        <w:footnoteReference w:id="7"/>
      </w:r>
      <w:r>
        <w:t xml:space="preserve">. </w:t>
      </w:r>
      <w:r w:rsidR="00A13435">
        <w:t xml:space="preserve">The </w:t>
      </w:r>
      <w:r>
        <w:t>Bayesian approach estimates uncertainty via a credible interval (range of values that would be consistent with the data).</w:t>
      </w:r>
    </w:p>
    <w:p w14:paraId="5D3E8A9A" w14:textId="71FF6197" w:rsidR="008F3DE8" w:rsidRDefault="008F3DE8" w:rsidP="00A23A93"/>
    <w:p w14:paraId="104E8505" w14:textId="77777777" w:rsidR="008721F7" w:rsidRDefault="008721F7" w:rsidP="008721F7">
      <w:pPr>
        <w:rPr>
          <w:rFonts w:asciiTheme="minorHAnsi" w:hAnsiTheme="minorHAnsi" w:cstheme="minorHAnsi"/>
        </w:rPr>
      </w:pPr>
      <w:r>
        <w:rPr>
          <w:rFonts w:asciiTheme="minorHAnsi" w:hAnsiTheme="minorHAnsi" w:cstheme="minorHAnsi"/>
        </w:rPr>
        <w:t>The methods for analyzing hepatic stability and fraction of chemicals were most recently developed and described in Wambaugh et al. (2019)</w:t>
      </w:r>
      <w:r>
        <w:rPr>
          <w:rStyle w:val="FootnoteReference"/>
          <w:rFonts w:asciiTheme="minorHAnsi" w:hAnsiTheme="minorHAnsi" w:cstheme="minorHAnsi"/>
        </w:rPr>
        <w:footnoteReference w:id="8"/>
      </w:r>
      <w:r>
        <w:rPr>
          <w:rFonts w:asciiTheme="minorHAnsi" w:hAnsiTheme="minorHAnsi" w:cstheme="minorHAnsi"/>
        </w:rPr>
        <w:t xml:space="preserve">. The methods for analyzing Caco2 permeability data are being developed and described by a new Honda et al. manuscript. The methods for analyzing </w:t>
      </w:r>
      <w:proofErr w:type="spellStart"/>
      <w:r>
        <w:rPr>
          <w:rFonts w:asciiTheme="minorHAnsi" w:hAnsiTheme="minorHAnsi" w:cstheme="minorHAnsi"/>
        </w:rPr>
        <w:t>blood:plasma</w:t>
      </w:r>
      <w:proofErr w:type="spellEnd"/>
      <w:r>
        <w:rPr>
          <w:rFonts w:asciiTheme="minorHAnsi" w:hAnsiTheme="minorHAnsi" w:cstheme="minorHAnsi"/>
        </w:rPr>
        <w:t xml:space="preserve"> ratio data have not been previously developed for the HTTK project.</w:t>
      </w:r>
    </w:p>
    <w:p w14:paraId="6D4FCCD2" w14:textId="297194F1" w:rsidR="008721F7" w:rsidRDefault="008721F7" w:rsidP="00A23A93"/>
    <w:p w14:paraId="056BB6C0" w14:textId="77777777" w:rsidR="008721F7" w:rsidRDefault="008721F7" w:rsidP="00A23A93"/>
    <w:p w14:paraId="605EABB1" w14:textId="25540B4A" w:rsidR="002D52FB" w:rsidRDefault="002D52FB" w:rsidP="003B74C7"/>
    <w:p w14:paraId="2441EE3A" w14:textId="105CE078" w:rsidR="00A23A93" w:rsidRDefault="00A23A93" w:rsidP="00A23A93"/>
    <w:p w14:paraId="561C1450" w14:textId="77777777" w:rsidR="00A23A93" w:rsidRPr="00A23A93" w:rsidRDefault="00A23A93" w:rsidP="00A23A93"/>
    <w:p w14:paraId="371AD287" w14:textId="77777777" w:rsidR="003B74C7" w:rsidRDefault="003B74C7">
      <w:pPr>
        <w:spacing w:after="160" w:line="259" w:lineRule="auto"/>
        <w:rPr>
          <w:rFonts w:asciiTheme="majorHAnsi" w:eastAsiaTheme="majorEastAsia" w:hAnsiTheme="majorHAnsi" w:cstheme="majorBidi"/>
          <w:color w:val="2F5496" w:themeColor="accent1" w:themeShade="BF"/>
          <w:sz w:val="26"/>
          <w:szCs w:val="26"/>
        </w:rPr>
      </w:pPr>
      <w:r>
        <w:br w:type="page"/>
      </w:r>
    </w:p>
    <w:p w14:paraId="58213918" w14:textId="4AD70D02" w:rsidR="008F2F4A" w:rsidRDefault="008F2F4A" w:rsidP="009030CE">
      <w:pPr>
        <w:pStyle w:val="Heading2"/>
      </w:pPr>
      <w:r w:rsidRPr="009030CE">
        <w:lastRenderedPageBreak/>
        <w:t>Curation Process</w:t>
      </w:r>
    </w:p>
    <w:p w14:paraId="3C2D6772" w14:textId="4BC18F5C" w:rsidR="009030CE" w:rsidRDefault="009030CE" w:rsidP="00845FF0"/>
    <w:p w14:paraId="5BA587E0" w14:textId="346E357E" w:rsidR="00845FF0" w:rsidRDefault="00845FF0" w:rsidP="00845FF0">
      <w:r>
        <w:t xml:space="preserve">The data files are stored in the directory </w:t>
      </w:r>
      <w:r w:rsidRPr="00845FF0">
        <w:t>L:\Lab\NCCT_ExpoCast\ExpoCast20</w:t>
      </w:r>
      <w:r>
        <w:t>XX</w:t>
      </w:r>
      <w:r w:rsidRPr="00845FF0">
        <w:t>\HTTKNewData</w:t>
      </w:r>
    </w:p>
    <w:p w14:paraId="0307042F" w14:textId="77777777" w:rsidR="00845FF0" w:rsidRDefault="00845FF0" w:rsidP="00845FF0"/>
    <w:p w14:paraId="2BC3B9DB" w14:textId="7C0B7BAF" w:rsidR="00845FF0" w:rsidRDefault="00845FF0" w:rsidP="00845FF0">
      <w:r>
        <w:t>The compiled data files are stored in the main folder, while file</w:t>
      </w:r>
      <w:r w:rsidR="00A13435">
        <w:t>s</w:t>
      </w:r>
      <w:r>
        <w:t xml:space="preserve"> received from the contractor are stored in sub-directories according to the source (for example “CyprotexTO1”). When a file from the contractor has been processed (that is, all relevant compiled data files have been updated based on the file from the contractor) then the file from the contractor is moved to a sub-folder named processed (for example “CyprotexTO1/processed”).</w:t>
      </w:r>
    </w:p>
    <w:p w14:paraId="6C75C993" w14:textId="7DC2F6DF" w:rsidR="00121800" w:rsidRDefault="00121800" w:rsidP="00845FF0"/>
    <w:p w14:paraId="3FFCE871" w14:textId="77777777" w:rsidR="00121800" w:rsidRDefault="00121800" w:rsidP="00845FF0">
      <w:r>
        <w:t xml:space="preserve">We rely on the CompTox Chemicals Dashboard for chemical identities: </w:t>
      </w:r>
    </w:p>
    <w:p w14:paraId="3B85CD8F" w14:textId="30D270CB" w:rsidR="00121800" w:rsidRDefault="00FB701E" w:rsidP="00845FF0">
      <w:pPr>
        <w:rPr>
          <w:rStyle w:val="Hyperlink"/>
        </w:rPr>
      </w:pPr>
      <w:hyperlink r:id="rId15" w:history="1">
        <w:r w:rsidR="00121800">
          <w:rPr>
            <w:rStyle w:val="Hyperlink"/>
          </w:rPr>
          <w:t>https://comptox-prod.epa.gov/dashboard/dsstoxdb/batch_search</w:t>
        </w:r>
      </w:hyperlink>
    </w:p>
    <w:p w14:paraId="143DFB95" w14:textId="77777777" w:rsidR="008F3DE8" w:rsidRDefault="008F3DE8" w:rsidP="00845FF0"/>
    <w:p w14:paraId="453EAFB2" w14:textId="77777777" w:rsidR="008F3DE8" w:rsidRDefault="008F3DE8" w:rsidP="008F3DE8">
      <w:r>
        <w:t>At this point, we simply cut and paste from the Level 0 files into the Level 1 (“raw”) files</w:t>
      </w:r>
    </w:p>
    <w:p w14:paraId="142BA2DB" w14:textId="10E7257F" w:rsidR="005C399E" w:rsidRDefault="00845FF0" w:rsidP="005C399E">
      <w:pPr>
        <w:pStyle w:val="Heading3"/>
      </w:pPr>
      <w:r>
        <w:t xml:space="preserve">Compiled </w:t>
      </w:r>
      <w:r w:rsidR="005C399E">
        <w:t>Data Files</w:t>
      </w:r>
    </w:p>
    <w:p w14:paraId="10FB8D18" w14:textId="0052224E" w:rsidR="005C399E" w:rsidRPr="005C399E" w:rsidRDefault="00755852" w:rsidP="009030CE">
      <w:r>
        <w:rPr>
          <w:b/>
          <w:bCs/>
        </w:rPr>
        <w:t>a</w:t>
      </w:r>
      <w:r w:rsidR="005C399E" w:rsidRPr="005C399E">
        <w:rPr>
          <w:b/>
          <w:bCs/>
        </w:rPr>
        <w:t>ll</w:t>
      </w:r>
      <w:r>
        <w:rPr>
          <w:b/>
          <w:bCs/>
        </w:rPr>
        <w:t>-f</w:t>
      </w:r>
      <w:r w:rsidR="005C399E" w:rsidRPr="005C399E">
        <w:rPr>
          <w:b/>
          <w:bCs/>
        </w:rPr>
        <w:t>iles</w:t>
      </w:r>
      <w:r>
        <w:rPr>
          <w:b/>
          <w:bCs/>
        </w:rPr>
        <w:t>-received</w:t>
      </w:r>
      <w:r w:rsidR="005C399E" w:rsidRPr="005C399E">
        <w:rPr>
          <w:b/>
          <w:bCs/>
        </w:rPr>
        <w:t>.xlsx</w:t>
      </w:r>
      <w:r w:rsidR="005C399E">
        <w:rPr>
          <w:b/>
          <w:bCs/>
        </w:rPr>
        <w:t xml:space="preserve">: </w:t>
      </w:r>
      <w:r w:rsidR="005C399E" w:rsidRPr="005C399E">
        <w:t>Description of all files received by EPA from the contractor</w:t>
      </w:r>
    </w:p>
    <w:p w14:paraId="1EB84AF4" w14:textId="77777777" w:rsidR="00755852" w:rsidRPr="005C399E" w:rsidRDefault="00755852" w:rsidP="00755852">
      <w:pPr>
        <w:rPr>
          <w:b/>
          <w:bCs/>
        </w:rPr>
      </w:pPr>
      <w:r>
        <w:rPr>
          <w:b/>
          <w:bCs/>
        </w:rPr>
        <w:t>a</w:t>
      </w:r>
      <w:r w:rsidRPr="005C399E">
        <w:rPr>
          <w:b/>
          <w:bCs/>
        </w:rPr>
        <w:t>nalytical</w:t>
      </w:r>
      <w:r>
        <w:rPr>
          <w:b/>
          <w:bCs/>
        </w:rPr>
        <w:t>-m</w:t>
      </w:r>
      <w:r w:rsidRPr="005C399E">
        <w:rPr>
          <w:b/>
          <w:bCs/>
        </w:rPr>
        <w:t>ethods.xlsx</w:t>
      </w:r>
      <w:r>
        <w:rPr>
          <w:b/>
          <w:bCs/>
        </w:rPr>
        <w:t xml:space="preserve">: </w:t>
      </w:r>
      <w:r w:rsidRPr="005C399E">
        <w:t xml:space="preserve">Description of the analytical method used for each chemical </w:t>
      </w:r>
    </w:p>
    <w:p w14:paraId="1C806400" w14:textId="091C5883" w:rsidR="005C399E" w:rsidRPr="005C399E" w:rsidRDefault="005C399E" w:rsidP="009030CE">
      <w:r w:rsidRPr="005C399E">
        <w:rPr>
          <w:b/>
          <w:bCs/>
        </w:rPr>
        <w:t>raw-clint-data.xlsx</w:t>
      </w:r>
      <w:r>
        <w:rPr>
          <w:b/>
          <w:bCs/>
        </w:rPr>
        <w:t xml:space="preserve">: </w:t>
      </w:r>
      <w:r w:rsidRPr="005C399E">
        <w:t>Mass spectra data for metabolic stability assays</w:t>
      </w:r>
    </w:p>
    <w:p w14:paraId="04C77A78" w14:textId="1CC13848" w:rsidR="005C399E" w:rsidRPr="005C399E" w:rsidRDefault="005C399E" w:rsidP="009030CE">
      <w:pPr>
        <w:rPr>
          <w:b/>
          <w:bCs/>
        </w:rPr>
      </w:pPr>
      <w:r w:rsidRPr="005C399E">
        <w:rPr>
          <w:b/>
          <w:bCs/>
        </w:rPr>
        <w:t>raw-ppb-data.xlsx</w:t>
      </w:r>
      <w:r>
        <w:rPr>
          <w:b/>
          <w:bCs/>
        </w:rPr>
        <w:t>:</w:t>
      </w:r>
      <w:r w:rsidRPr="005C399E">
        <w:rPr>
          <w:b/>
          <w:bCs/>
        </w:rPr>
        <w:t xml:space="preserve"> </w:t>
      </w:r>
      <w:r w:rsidRPr="00755852">
        <w:t xml:space="preserve">Mass spectra data for </w:t>
      </w:r>
      <w:r w:rsidR="00755852">
        <w:t>plasma protein binding</w:t>
      </w:r>
      <w:r w:rsidRPr="00755852">
        <w:t xml:space="preserve"> assays</w:t>
      </w:r>
    </w:p>
    <w:p w14:paraId="088831FC" w14:textId="3B62E9FC" w:rsidR="005C399E" w:rsidRPr="005C399E" w:rsidRDefault="005C399E" w:rsidP="009030CE">
      <w:pPr>
        <w:rPr>
          <w:b/>
          <w:bCs/>
        </w:rPr>
      </w:pPr>
      <w:r w:rsidRPr="005C399E">
        <w:rPr>
          <w:b/>
          <w:bCs/>
        </w:rPr>
        <w:t>raw-caco2-data.xlsx</w:t>
      </w:r>
      <w:r>
        <w:rPr>
          <w:b/>
          <w:bCs/>
        </w:rPr>
        <w:t xml:space="preserve">: </w:t>
      </w:r>
      <w:r w:rsidRPr="00755852">
        <w:t xml:space="preserve">Mass spectra data for </w:t>
      </w:r>
      <w:r w:rsidR="00755852">
        <w:t>the Caco2 permeability</w:t>
      </w:r>
      <w:r w:rsidRPr="00755852">
        <w:t xml:space="preserve"> assays</w:t>
      </w:r>
    </w:p>
    <w:p w14:paraId="24640727" w14:textId="7271ABBF" w:rsidR="005C399E" w:rsidRPr="005C399E" w:rsidRDefault="005C399E" w:rsidP="005C399E">
      <w:pPr>
        <w:rPr>
          <w:b/>
          <w:bCs/>
        </w:rPr>
      </w:pPr>
      <w:r w:rsidRPr="005C399E">
        <w:rPr>
          <w:b/>
          <w:bCs/>
        </w:rPr>
        <w:t>raw-rb2p-data.xlsx</w:t>
      </w:r>
      <w:r>
        <w:rPr>
          <w:b/>
          <w:bCs/>
        </w:rPr>
        <w:t xml:space="preserve">: </w:t>
      </w:r>
      <w:r w:rsidRPr="005C399E">
        <w:t xml:space="preserve">Mass spectra data for </w:t>
      </w:r>
      <w:r w:rsidR="00755852">
        <w:t xml:space="preserve">blood 2 plasma </w:t>
      </w:r>
      <w:r w:rsidRPr="005C399E">
        <w:t>assays</w:t>
      </w:r>
    </w:p>
    <w:p w14:paraId="32BE97E7" w14:textId="77777777" w:rsidR="00755852" w:rsidRPr="005C399E" w:rsidRDefault="00755852" w:rsidP="00755852">
      <w:pPr>
        <w:rPr>
          <w:b/>
          <w:bCs/>
        </w:rPr>
      </w:pPr>
      <w:r>
        <w:rPr>
          <w:b/>
          <w:bCs/>
        </w:rPr>
        <w:t>sample-d</w:t>
      </w:r>
      <w:r w:rsidRPr="005C399E">
        <w:rPr>
          <w:b/>
          <w:bCs/>
        </w:rPr>
        <w:t>ata</w:t>
      </w:r>
      <w:r>
        <w:rPr>
          <w:b/>
          <w:bCs/>
        </w:rPr>
        <w:t>-s</w:t>
      </w:r>
      <w:r w:rsidRPr="005C399E">
        <w:rPr>
          <w:b/>
          <w:bCs/>
        </w:rPr>
        <w:t>ummary.xlsx</w:t>
      </w:r>
      <w:r>
        <w:rPr>
          <w:b/>
          <w:bCs/>
        </w:rPr>
        <w:t xml:space="preserve">: </w:t>
      </w:r>
      <w:r w:rsidRPr="005C399E">
        <w:t>Summary of information received on a per-sample basis</w:t>
      </w:r>
    </w:p>
    <w:p w14:paraId="0CA9B1A0" w14:textId="0FED87F6" w:rsidR="005C399E" w:rsidRDefault="005C399E" w:rsidP="009030CE"/>
    <w:p w14:paraId="700E8FC0" w14:textId="09E7CCDE" w:rsidR="005C399E" w:rsidRDefault="005C399E" w:rsidP="005C399E">
      <w:r>
        <w:t>The raw files and the analytical methods file will be provided as supplemental material in a peer-reviewed paper associated with the data.</w:t>
      </w:r>
    </w:p>
    <w:p w14:paraId="2685A4C3" w14:textId="77777777" w:rsidR="005C399E" w:rsidRDefault="005C399E" w:rsidP="009030CE"/>
    <w:p w14:paraId="26D2D236" w14:textId="77777777" w:rsidR="005C399E" w:rsidRDefault="005C399E" w:rsidP="009030CE"/>
    <w:p w14:paraId="5E330080" w14:textId="3E0509D4" w:rsidR="009030CE" w:rsidRDefault="009030CE" w:rsidP="009030CE">
      <w:pPr>
        <w:pStyle w:val="Heading2"/>
      </w:pPr>
      <w:r>
        <w:t>Example</w:t>
      </w:r>
    </w:p>
    <w:bookmarkEnd w:id="0"/>
    <w:p w14:paraId="4B644CFD" w14:textId="77777777" w:rsidR="009030CE" w:rsidRDefault="009030CE" w:rsidP="007830C5"/>
    <w:sectPr w:rsidR="009030CE">
      <w:headerReference w:type="default"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B3D6DE" w14:textId="77777777" w:rsidR="00FB701E" w:rsidRDefault="00FB701E" w:rsidP="00A8722B">
      <w:r>
        <w:separator/>
      </w:r>
    </w:p>
  </w:endnote>
  <w:endnote w:type="continuationSeparator" w:id="0">
    <w:p w14:paraId="567D8782" w14:textId="77777777" w:rsidR="00FB701E" w:rsidRDefault="00FB701E" w:rsidP="00A872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72363820"/>
      <w:docPartObj>
        <w:docPartGallery w:val="Page Numbers (Bottom of Page)"/>
        <w:docPartUnique/>
      </w:docPartObj>
    </w:sdtPr>
    <w:sdtEndPr>
      <w:rPr>
        <w:noProof/>
      </w:rPr>
    </w:sdtEndPr>
    <w:sdtContent>
      <w:p w14:paraId="5BB0CE4F" w14:textId="59A1D9F2" w:rsidR="00A8722B" w:rsidRDefault="00A8722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B589C9F" w14:textId="77777777" w:rsidR="00A8722B" w:rsidRDefault="00A8722B" w:rsidP="00A8722B">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AB4B48" w14:textId="77777777" w:rsidR="00FB701E" w:rsidRDefault="00FB701E" w:rsidP="00A8722B">
      <w:r>
        <w:separator/>
      </w:r>
    </w:p>
  </w:footnote>
  <w:footnote w:type="continuationSeparator" w:id="0">
    <w:p w14:paraId="74B651E6" w14:textId="77777777" w:rsidR="00FB701E" w:rsidRDefault="00FB701E" w:rsidP="00A8722B">
      <w:r>
        <w:continuationSeparator/>
      </w:r>
    </w:p>
  </w:footnote>
  <w:footnote w:id="1">
    <w:p w14:paraId="43D601C2" w14:textId="3930E6EE" w:rsidR="005D1214" w:rsidRDefault="005D1214">
      <w:pPr>
        <w:pStyle w:val="FootnoteText"/>
      </w:pPr>
      <w:r>
        <w:rPr>
          <w:rStyle w:val="FootnoteReference"/>
        </w:rPr>
        <w:footnoteRef/>
      </w:r>
      <w:r>
        <w:t xml:space="preserve"> </w:t>
      </w:r>
      <w:r w:rsidRPr="005D1214">
        <w:t>Rotroff, Daniel M., et al. "Incorporating human dosimetry and exposure into high-throughput in vitro toxicity screening." Toxicological Sciences 117.2 (2010): 348-358.</w:t>
      </w:r>
    </w:p>
    <w:p w14:paraId="24180663" w14:textId="3DDEB7AF" w:rsidR="005D1214" w:rsidRDefault="005D1214">
      <w:pPr>
        <w:pStyle w:val="FootnoteText"/>
      </w:pPr>
      <w:r w:rsidRPr="005D1214">
        <w:t>Wetmore, Barbara A., et al. "Integration of dosimetry, exposure, and high-throughput screening data in chemical toxicity assessment." Toxicological Sciences 125.1 (2012): 157-174.</w:t>
      </w:r>
    </w:p>
    <w:p w14:paraId="24397DB5" w14:textId="77EB0F68" w:rsidR="005D1214" w:rsidRDefault="005D1214">
      <w:pPr>
        <w:pStyle w:val="FootnoteText"/>
      </w:pPr>
      <w:r w:rsidRPr="005D1214">
        <w:t>Wetmore, Barbara A., et al. "Incorporating high-throughput exposure predictions with dosimetry-adjusted in vitro bioactivity to inform chemical toxicity testing." Toxicological Sciences 148.1 (2015): 121-136.</w:t>
      </w:r>
    </w:p>
    <w:p w14:paraId="0FBB13A0" w14:textId="1AD97324" w:rsidR="005D1214" w:rsidRDefault="005D1214">
      <w:pPr>
        <w:pStyle w:val="FootnoteText"/>
      </w:pPr>
      <w:r w:rsidRPr="005D1214">
        <w:t>Wambaugh, John F., et al. "Assessing Toxicokinetic Uncertainty and Variability in Risk Prioritization." Toxicological Sciences 172.2 (2019): 235-251.</w:t>
      </w:r>
    </w:p>
  </w:footnote>
  <w:footnote w:id="2">
    <w:p w14:paraId="655D6D01" w14:textId="3F3A349D" w:rsidR="005D1214" w:rsidRDefault="005D1214">
      <w:pPr>
        <w:pStyle w:val="FootnoteText"/>
      </w:pPr>
      <w:r>
        <w:rPr>
          <w:rStyle w:val="FootnoteReference"/>
        </w:rPr>
        <w:footnoteRef/>
      </w:r>
      <w:r>
        <w:t xml:space="preserve"> </w:t>
      </w:r>
      <w:r w:rsidRPr="005D1214">
        <w:t>Jamei, Masoud, et al. "The Simcyp® population-based ADME simulator." Expert opinion on drug metabolism &amp; toxicology 5.2 (2009): 211-223.</w:t>
      </w:r>
    </w:p>
    <w:p w14:paraId="58993C9D" w14:textId="5E3AB568" w:rsidR="005D1214" w:rsidRDefault="005D1214">
      <w:pPr>
        <w:pStyle w:val="FootnoteText"/>
      </w:pPr>
      <w:r w:rsidRPr="005D1214">
        <w:t>Wang, Ying-Hong. "Confidence assessment of the Simcyp time-based approach and a static mathematical model in predicting clinical drug-drug interactions for mechanism-based CYP3A inhibitors." Drug Metabolism and Disposition 38.7 (2010): 1094-1104.</w:t>
      </w:r>
    </w:p>
  </w:footnote>
  <w:footnote w:id="3">
    <w:p w14:paraId="5852C02D" w14:textId="71616659" w:rsidR="005D1214" w:rsidRDefault="005D1214">
      <w:pPr>
        <w:pStyle w:val="FootnoteText"/>
      </w:pPr>
      <w:r>
        <w:rPr>
          <w:rStyle w:val="FootnoteReference"/>
        </w:rPr>
        <w:footnoteRef/>
      </w:r>
      <w:r w:rsidR="00347322">
        <w:t xml:space="preserve"> </w:t>
      </w:r>
      <w:r w:rsidRPr="005D1214">
        <w:t>Coecke, Sandra, et al. "Toxicokinetics as a key to the integrated toxicity risk assessment based primarily on non-animal approaches." Toxicology in vitro 27.5 (2013): 1570-1577.</w:t>
      </w:r>
    </w:p>
    <w:p w14:paraId="5560A69A" w14:textId="3F987F27" w:rsidR="005D1214" w:rsidRDefault="005D1214">
      <w:pPr>
        <w:pStyle w:val="FootnoteText"/>
      </w:pPr>
      <w:r w:rsidRPr="005D1214">
        <w:t>Wetmore, Barbara A. "Quantitative in vitro-to-in vivo extrapolation in a high-throughput environment." Toxicology 332 (2015): 94-101.</w:t>
      </w:r>
    </w:p>
  </w:footnote>
  <w:footnote w:id="4">
    <w:p w14:paraId="0410A180" w14:textId="0A435ED6" w:rsidR="005D1214" w:rsidRDefault="005D1214">
      <w:pPr>
        <w:pStyle w:val="FootnoteText"/>
      </w:pPr>
      <w:r>
        <w:rPr>
          <w:rStyle w:val="FootnoteReference"/>
        </w:rPr>
        <w:footnoteRef/>
      </w:r>
      <w:r>
        <w:t xml:space="preserve"> </w:t>
      </w:r>
      <w:r w:rsidRPr="005D1214">
        <w:t>Pearce, Robert G., et al. "Httk: R package for high-throughput toxicokinetics." Journal of statistical software 79.4 (2017): 1.</w:t>
      </w:r>
    </w:p>
  </w:footnote>
  <w:footnote w:id="5">
    <w:p w14:paraId="7A7B8A31" w14:textId="0ADB5E82" w:rsidR="008F3DE8" w:rsidRDefault="008F3DE8">
      <w:pPr>
        <w:pStyle w:val="FootnoteText"/>
      </w:pPr>
      <w:r>
        <w:rPr>
          <w:rStyle w:val="FootnoteReference"/>
        </w:rPr>
        <w:footnoteRef/>
      </w:r>
      <w:r>
        <w:t xml:space="preserve"> </w:t>
      </w:r>
      <w:r>
        <w:rPr>
          <w:rFonts w:ascii="Arial" w:hAnsi="Arial" w:cs="Arial"/>
          <w:color w:val="222222"/>
          <w:shd w:val="clear" w:color="auto" w:fill="FFFFFF"/>
        </w:rPr>
        <w:t>Shibata, Yoshihiro, et al. "Prediction of hepatic clearance and availability by cryopreserved human hepatocytes: an application of serum incubation method." </w:t>
      </w:r>
      <w:r>
        <w:rPr>
          <w:rFonts w:ascii="Arial" w:hAnsi="Arial" w:cs="Arial"/>
          <w:i/>
          <w:iCs/>
          <w:color w:val="222222"/>
          <w:shd w:val="clear" w:color="auto" w:fill="FFFFFF"/>
        </w:rPr>
        <w:t>Drug Metabolism and disposition</w:t>
      </w:r>
      <w:r>
        <w:rPr>
          <w:rFonts w:ascii="Arial" w:hAnsi="Arial" w:cs="Arial"/>
          <w:color w:val="222222"/>
          <w:shd w:val="clear" w:color="auto" w:fill="FFFFFF"/>
        </w:rPr>
        <w:t> 30.8 (2002): 892-896.</w:t>
      </w:r>
    </w:p>
  </w:footnote>
  <w:footnote w:id="6">
    <w:p w14:paraId="49846A49" w14:textId="77777777" w:rsidR="00FA7BD7" w:rsidRDefault="00FA7BD7" w:rsidP="00FA7BD7">
      <w:pPr>
        <w:pStyle w:val="FootnoteText"/>
        <w:rPr>
          <w:rFonts w:ascii="Arial" w:hAnsi="Arial" w:cs="Arial"/>
          <w:color w:val="222222"/>
          <w:shd w:val="clear" w:color="auto" w:fill="FFFFFF"/>
        </w:rPr>
      </w:pPr>
      <w:r>
        <w:rPr>
          <w:rStyle w:val="FootnoteReference"/>
        </w:rPr>
        <w:footnoteRef/>
      </w:r>
      <w:r>
        <w:t xml:space="preserve"> </w:t>
      </w:r>
      <w:r>
        <w:rPr>
          <w:rFonts w:ascii="Arial" w:hAnsi="Arial" w:cs="Arial"/>
          <w:color w:val="222222"/>
          <w:shd w:val="clear" w:color="auto" w:fill="FFFFFF"/>
        </w:rPr>
        <w:t>Waters, Nigel J., et al. "Validation of a rapid equilibrium dialysis approach for the measurement of plasma protein binding." </w:t>
      </w:r>
      <w:r>
        <w:rPr>
          <w:rFonts w:ascii="Arial" w:hAnsi="Arial" w:cs="Arial"/>
          <w:i/>
          <w:iCs/>
          <w:color w:val="222222"/>
          <w:shd w:val="clear" w:color="auto" w:fill="FFFFFF"/>
        </w:rPr>
        <w:t>Journal of pharmaceutical sciences</w:t>
      </w:r>
      <w:r>
        <w:rPr>
          <w:rFonts w:ascii="Arial" w:hAnsi="Arial" w:cs="Arial"/>
          <w:color w:val="222222"/>
          <w:shd w:val="clear" w:color="auto" w:fill="FFFFFF"/>
        </w:rPr>
        <w:t> 97.10 (2008): 4586-4595.</w:t>
      </w:r>
    </w:p>
    <w:p w14:paraId="77EE4EAE" w14:textId="77777777" w:rsidR="00FA7BD7" w:rsidRDefault="00FA7BD7" w:rsidP="00FA7BD7">
      <w:pPr>
        <w:pStyle w:val="FootnoteText"/>
      </w:pPr>
      <w:r>
        <w:rPr>
          <w:rFonts w:ascii="Arial" w:hAnsi="Arial" w:cs="Arial"/>
          <w:color w:val="222222"/>
          <w:shd w:val="clear" w:color="auto" w:fill="FFFFFF"/>
        </w:rPr>
        <w:t xml:space="preserve">Barré, </w:t>
      </w:r>
      <w:proofErr w:type="spellStart"/>
      <w:r>
        <w:rPr>
          <w:rFonts w:ascii="Arial" w:hAnsi="Arial" w:cs="Arial"/>
          <w:color w:val="222222"/>
          <w:shd w:val="clear" w:color="auto" w:fill="FFFFFF"/>
        </w:rPr>
        <w:t>Jérrôme</w:t>
      </w:r>
      <w:proofErr w:type="spellEnd"/>
      <w:r>
        <w:rPr>
          <w:rFonts w:ascii="Arial" w:hAnsi="Arial" w:cs="Arial"/>
          <w:color w:val="222222"/>
          <w:shd w:val="clear" w:color="auto" w:fill="FFFFFF"/>
        </w:rPr>
        <w:t>, et al. "Equilibrium dialysis, ultrafiltration, and ultracentrifugation compared for determining the plasma-protein-binding characteristics of valproic acid." </w:t>
      </w:r>
      <w:r>
        <w:rPr>
          <w:rFonts w:ascii="Arial" w:hAnsi="Arial" w:cs="Arial"/>
          <w:i/>
          <w:iCs/>
          <w:color w:val="222222"/>
          <w:shd w:val="clear" w:color="auto" w:fill="FFFFFF"/>
        </w:rPr>
        <w:t>Clinical chemistry</w:t>
      </w:r>
      <w:r>
        <w:rPr>
          <w:rFonts w:ascii="Arial" w:hAnsi="Arial" w:cs="Arial"/>
          <w:color w:val="222222"/>
          <w:shd w:val="clear" w:color="auto" w:fill="FFFFFF"/>
        </w:rPr>
        <w:t> 31.1 (1985): 60-64.</w:t>
      </w:r>
    </w:p>
  </w:footnote>
  <w:footnote w:id="7">
    <w:p w14:paraId="0F345511" w14:textId="06E74E94" w:rsidR="008F3DE8" w:rsidRDefault="008F3DE8">
      <w:pPr>
        <w:pStyle w:val="FootnoteText"/>
      </w:pPr>
      <w:r>
        <w:rPr>
          <w:rStyle w:val="FootnoteReference"/>
        </w:rPr>
        <w:footnoteRef/>
      </w:r>
      <w:r>
        <w:t xml:space="preserve"> </w:t>
      </w:r>
      <w:r>
        <w:rPr>
          <w:rFonts w:ascii="Arial" w:hAnsi="Arial" w:cs="Arial"/>
          <w:color w:val="222222"/>
          <w:shd w:val="clear" w:color="auto" w:fill="FFFFFF"/>
        </w:rPr>
        <w:t>Wambaugh, John F., et al. "Assessing Toxicokinetic Uncertainty and Variability in Risk Prioritization." </w:t>
      </w:r>
      <w:r>
        <w:rPr>
          <w:rFonts w:ascii="Arial" w:hAnsi="Arial" w:cs="Arial"/>
          <w:i/>
          <w:iCs/>
          <w:color w:val="222222"/>
          <w:shd w:val="clear" w:color="auto" w:fill="FFFFFF"/>
        </w:rPr>
        <w:t>Toxicological Sciences</w:t>
      </w:r>
      <w:r>
        <w:rPr>
          <w:rFonts w:ascii="Arial" w:hAnsi="Arial" w:cs="Arial"/>
          <w:color w:val="222222"/>
          <w:shd w:val="clear" w:color="auto" w:fill="FFFFFF"/>
        </w:rPr>
        <w:t> 172.2 (2019): 235-251.</w:t>
      </w:r>
    </w:p>
  </w:footnote>
  <w:footnote w:id="8">
    <w:p w14:paraId="2F51DD2B" w14:textId="77777777" w:rsidR="008721F7" w:rsidRDefault="008721F7" w:rsidP="008721F7">
      <w:pPr>
        <w:pStyle w:val="FootnoteText"/>
      </w:pPr>
      <w:r>
        <w:rPr>
          <w:rStyle w:val="FootnoteReference"/>
        </w:rPr>
        <w:footnoteRef/>
      </w:r>
      <w:r>
        <w:t xml:space="preserve"> </w:t>
      </w:r>
      <w:r w:rsidRPr="005D1214">
        <w:t>Wambaugh, John F., et al. "Assessing Toxicokinetic Uncertainty and Variability in Risk Prioritization." Toxicological Sciences 172.2 (2019): 235-251.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F95EC8" w14:textId="695862B3" w:rsidR="00A8722B" w:rsidRDefault="00A8722B" w:rsidP="00A8722B">
    <w:pPr>
      <w:pStyle w:val="Header"/>
    </w:pPr>
    <w:r>
      <w:t xml:space="preserve">SOP for </w:t>
    </w:r>
    <w:r w:rsidR="00CF5F24">
      <w:t>HTTK</w:t>
    </w:r>
    <w:r>
      <w:t xml:space="preserve"> Data Curation</w:t>
    </w:r>
    <w:r>
      <w:tab/>
    </w:r>
    <w:r>
      <w:tab/>
    </w:r>
    <w:r>
      <w:fldChar w:fldCharType="begin"/>
    </w:r>
    <w:r>
      <w:instrText xml:space="preserve"> DATE \@ "M/d/yyyy" </w:instrText>
    </w:r>
    <w:r>
      <w:fldChar w:fldCharType="separate"/>
    </w:r>
    <w:r w:rsidR="00AF60D9">
      <w:rPr>
        <w:noProof/>
      </w:rPr>
      <w:t>10/26/2020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B03F9"/>
    <w:multiLevelType w:val="hybridMultilevel"/>
    <w:tmpl w:val="8EF23C40"/>
    <w:lvl w:ilvl="0" w:tplc="B5003C8E">
      <w:start w:val="1"/>
      <w:numFmt w:val="decimal"/>
      <w:lvlText w:val="%1."/>
      <w:lvlJc w:val="left"/>
      <w:pPr>
        <w:ind w:left="810" w:hanging="360"/>
      </w:pPr>
      <w:rPr>
        <w:b/>
        <w:bCs/>
      </w:rPr>
    </w:lvl>
    <w:lvl w:ilvl="1" w:tplc="04090019">
      <w:start w:val="1"/>
      <w:numFmt w:val="lowerLetter"/>
      <w:lvlText w:val="%2."/>
      <w:lvlJc w:val="left"/>
      <w:pPr>
        <w:ind w:left="1530" w:hanging="360"/>
      </w:pPr>
    </w:lvl>
    <w:lvl w:ilvl="2" w:tplc="0409001B">
      <w:start w:val="1"/>
      <w:numFmt w:val="lowerRoman"/>
      <w:lvlText w:val="%3."/>
      <w:lvlJc w:val="right"/>
      <w:pPr>
        <w:ind w:left="2250" w:hanging="180"/>
      </w:pPr>
    </w:lvl>
    <w:lvl w:ilvl="3" w:tplc="0409000F">
      <w:start w:val="1"/>
      <w:numFmt w:val="decimal"/>
      <w:lvlText w:val="%4."/>
      <w:lvlJc w:val="left"/>
      <w:pPr>
        <w:ind w:left="2970" w:hanging="360"/>
      </w:pPr>
    </w:lvl>
    <w:lvl w:ilvl="4" w:tplc="04090019">
      <w:start w:val="1"/>
      <w:numFmt w:val="lowerLetter"/>
      <w:lvlText w:val="%5."/>
      <w:lvlJc w:val="left"/>
      <w:pPr>
        <w:ind w:left="3690" w:hanging="360"/>
      </w:pPr>
    </w:lvl>
    <w:lvl w:ilvl="5" w:tplc="0409001B">
      <w:start w:val="1"/>
      <w:numFmt w:val="lowerRoman"/>
      <w:lvlText w:val="%6."/>
      <w:lvlJc w:val="right"/>
      <w:pPr>
        <w:ind w:left="4410" w:hanging="180"/>
      </w:pPr>
    </w:lvl>
    <w:lvl w:ilvl="6" w:tplc="0409000F">
      <w:start w:val="1"/>
      <w:numFmt w:val="decimal"/>
      <w:lvlText w:val="%7."/>
      <w:lvlJc w:val="left"/>
      <w:pPr>
        <w:ind w:left="5130" w:hanging="360"/>
      </w:pPr>
    </w:lvl>
    <w:lvl w:ilvl="7" w:tplc="04090019">
      <w:start w:val="1"/>
      <w:numFmt w:val="lowerLetter"/>
      <w:lvlText w:val="%8."/>
      <w:lvlJc w:val="left"/>
      <w:pPr>
        <w:ind w:left="5850" w:hanging="360"/>
      </w:pPr>
    </w:lvl>
    <w:lvl w:ilvl="8" w:tplc="0409001B">
      <w:start w:val="1"/>
      <w:numFmt w:val="lowerRoman"/>
      <w:lvlText w:val="%9."/>
      <w:lvlJc w:val="right"/>
      <w:pPr>
        <w:ind w:left="6570" w:hanging="180"/>
      </w:pPr>
    </w:lvl>
  </w:abstractNum>
  <w:abstractNum w:abstractNumId="1" w15:restartNumberingAfterBreak="0">
    <w:nsid w:val="097047BB"/>
    <w:multiLevelType w:val="hybridMultilevel"/>
    <w:tmpl w:val="18EC70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0A3B89"/>
    <w:multiLevelType w:val="hybridMultilevel"/>
    <w:tmpl w:val="871A81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146A9B"/>
    <w:multiLevelType w:val="multilevel"/>
    <w:tmpl w:val="2C0E6F3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38735E4B"/>
    <w:multiLevelType w:val="hybridMultilevel"/>
    <w:tmpl w:val="6BECD5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0A00201"/>
    <w:multiLevelType w:val="hybridMultilevel"/>
    <w:tmpl w:val="AFE21F7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40DB638C"/>
    <w:multiLevelType w:val="hybridMultilevel"/>
    <w:tmpl w:val="937ED374"/>
    <w:lvl w:ilvl="0" w:tplc="CA06DD72">
      <w:start w:val="1"/>
      <w:numFmt w:val="bullet"/>
      <w:lvlText w:val="•"/>
      <w:lvlJc w:val="left"/>
      <w:pPr>
        <w:tabs>
          <w:tab w:val="num" w:pos="720"/>
        </w:tabs>
        <w:ind w:left="720" w:hanging="360"/>
      </w:pPr>
      <w:rPr>
        <w:rFonts w:ascii="Arial" w:hAnsi="Arial" w:hint="default"/>
      </w:rPr>
    </w:lvl>
    <w:lvl w:ilvl="1" w:tplc="FF3C6F6A">
      <w:start w:val="1"/>
      <w:numFmt w:val="bullet"/>
      <w:lvlText w:val="•"/>
      <w:lvlJc w:val="left"/>
      <w:pPr>
        <w:tabs>
          <w:tab w:val="num" w:pos="1440"/>
        </w:tabs>
        <w:ind w:left="1440" w:hanging="360"/>
      </w:pPr>
      <w:rPr>
        <w:rFonts w:ascii="Arial" w:hAnsi="Arial" w:hint="default"/>
      </w:rPr>
    </w:lvl>
    <w:lvl w:ilvl="2" w:tplc="D21C0C8C" w:tentative="1">
      <w:start w:val="1"/>
      <w:numFmt w:val="bullet"/>
      <w:lvlText w:val="•"/>
      <w:lvlJc w:val="left"/>
      <w:pPr>
        <w:tabs>
          <w:tab w:val="num" w:pos="2160"/>
        </w:tabs>
        <w:ind w:left="2160" w:hanging="360"/>
      </w:pPr>
      <w:rPr>
        <w:rFonts w:ascii="Arial" w:hAnsi="Arial" w:hint="default"/>
      </w:rPr>
    </w:lvl>
    <w:lvl w:ilvl="3" w:tplc="C84CA3AE" w:tentative="1">
      <w:start w:val="1"/>
      <w:numFmt w:val="bullet"/>
      <w:lvlText w:val="•"/>
      <w:lvlJc w:val="left"/>
      <w:pPr>
        <w:tabs>
          <w:tab w:val="num" w:pos="2880"/>
        </w:tabs>
        <w:ind w:left="2880" w:hanging="360"/>
      </w:pPr>
      <w:rPr>
        <w:rFonts w:ascii="Arial" w:hAnsi="Arial" w:hint="default"/>
      </w:rPr>
    </w:lvl>
    <w:lvl w:ilvl="4" w:tplc="F16C75AC" w:tentative="1">
      <w:start w:val="1"/>
      <w:numFmt w:val="bullet"/>
      <w:lvlText w:val="•"/>
      <w:lvlJc w:val="left"/>
      <w:pPr>
        <w:tabs>
          <w:tab w:val="num" w:pos="3600"/>
        </w:tabs>
        <w:ind w:left="3600" w:hanging="360"/>
      </w:pPr>
      <w:rPr>
        <w:rFonts w:ascii="Arial" w:hAnsi="Arial" w:hint="default"/>
      </w:rPr>
    </w:lvl>
    <w:lvl w:ilvl="5" w:tplc="ECAC4142" w:tentative="1">
      <w:start w:val="1"/>
      <w:numFmt w:val="bullet"/>
      <w:lvlText w:val="•"/>
      <w:lvlJc w:val="left"/>
      <w:pPr>
        <w:tabs>
          <w:tab w:val="num" w:pos="4320"/>
        </w:tabs>
        <w:ind w:left="4320" w:hanging="360"/>
      </w:pPr>
      <w:rPr>
        <w:rFonts w:ascii="Arial" w:hAnsi="Arial" w:hint="default"/>
      </w:rPr>
    </w:lvl>
    <w:lvl w:ilvl="6" w:tplc="0C4E5650" w:tentative="1">
      <w:start w:val="1"/>
      <w:numFmt w:val="bullet"/>
      <w:lvlText w:val="•"/>
      <w:lvlJc w:val="left"/>
      <w:pPr>
        <w:tabs>
          <w:tab w:val="num" w:pos="5040"/>
        </w:tabs>
        <w:ind w:left="5040" w:hanging="360"/>
      </w:pPr>
      <w:rPr>
        <w:rFonts w:ascii="Arial" w:hAnsi="Arial" w:hint="default"/>
      </w:rPr>
    </w:lvl>
    <w:lvl w:ilvl="7" w:tplc="D39211EA" w:tentative="1">
      <w:start w:val="1"/>
      <w:numFmt w:val="bullet"/>
      <w:lvlText w:val="•"/>
      <w:lvlJc w:val="left"/>
      <w:pPr>
        <w:tabs>
          <w:tab w:val="num" w:pos="5760"/>
        </w:tabs>
        <w:ind w:left="5760" w:hanging="360"/>
      </w:pPr>
      <w:rPr>
        <w:rFonts w:ascii="Arial" w:hAnsi="Arial" w:hint="default"/>
      </w:rPr>
    </w:lvl>
    <w:lvl w:ilvl="8" w:tplc="B4A4AF32"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42F14F90"/>
    <w:multiLevelType w:val="hybridMultilevel"/>
    <w:tmpl w:val="2FECED92"/>
    <w:lvl w:ilvl="0" w:tplc="A45A8702">
      <w:start w:val="1"/>
      <w:numFmt w:val="bullet"/>
      <w:lvlText w:val=""/>
      <w:lvlJc w:val="left"/>
      <w:pPr>
        <w:tabs>
          <w:tab w:val="num" w:pos="720"/>
        </w:tabs>
        <w:ind w:left="720" w:hanging="360"/>
      </w:pPr>
      <w:rPr>
        <w:rFonts w:ascii="Wingdings" w:hAnsi="Wingdings" w:hint="default"/>
      </w:rPr>
    </w:lvl>
    <w:lvl w:ilvl="1" w:tplc="BCE64DEC" w:tentative="1">
      <w:start w:val="1"/>
      <w:numFmt w:val="bullet"/>
      <w:lvlText w:val=""/>
      <w:lvlJc w:val="left"/>
      <w:pPr>
        <w:tabs>
          <w:tab w:val="num" w:pos="1440"/>
        </w:tabs>
        <w:ind w:left="1440" w:hanging="360"/>
      </w:pPr>
      <w:rPr>
        <w:rFonts w:ascii="Wingdings" w:hAnsi="Wingdings" w:hint="default"/>
      </w:rPr>
    </w:lvl>
    <w:lvl w:ilvl="2" w:tplc="C41A9EE0" w:tentative="1">
      <w:start w:val="1"/>
      <w:numFmt w:val="bullet"/>
      <w:lvlText w:val=""/>
      <w:lvlJc w:val="left"/>
      <w:pPr>
        <w:tabs>
          <w:tab w:val="num" w:pos="2160"/>
        </w:tabs>
        <w:ind w:left="2160" w:hanging="360"/>
      </w:pPr>
      <w:rPr>
        <w:rFonts w:ascii="Wingdings" w:hAnsi="Wingdings" w:hint="default"/>
      </w:rPr>
    </w:lvl>
    <w:lvl w:ilvl="3" w:tplc="7B249F46" w:tentative="1">
      <w:start w:val="1"/>
      <w:numFmt w:val="bullet"/>
      <w:lvlText w:val=""/>
      <w:lvlJc w:val="left"/>
      <w:pPr>
        <w:tabs>
          <w:tab w:val="num" w:pos="2880"/>
        </w:tabs>
        <w:ind w:left="2880" w:hanging="360"/>
      </w:pPr>
      <w:rPr>
        <w:rFonts w:ascii="Wingdings" w:hAnsi="Wingdings" w:hint="default"/>
      </w:rPr>
    </w:lvl>
    <w:lvl w:ilvl="4" w:tplc="D2E67D72" w:tentative="1">
      <w:start w:val="1"/>
      <w:numFmt w:val="bullet"/>
      <w:lvlText w:val=""/>
      <w:lvlJc w:val="left"/>
      <w:pPr>
        <w:tabs>
          <w:tab w:val="num" w:pos="3600"/>
        </w:tabs>
        <w:ind w:left="3600" w:hanging="360"/>
      </w:pPr>
      <w:rPr>
        <w:rFonts w:ascii="Wingdings" w:hAnsi="Wingdings" w:hint="default"/>
      </w:rPr>
    </w:lvl>
    <w:lvl w:ilvl="5" w:tplc="DD98BAD8" w:tentative="1">
      <w:start w:val="1"/>
      <w:numFmt w:val="bullet"/>
      <w:lvlText w:val=""/>
      <w:lvlJc w:val="left"/>
      <w:pPr>
        <w:tabs>
          <w:tab w:val="num" w:pos="4320"/>
        </w:tabs>
        <w:ind w:left="4320" w:hanging="360"/>
      </w:pPr>
      <w:rPr>
        <w:rFonts w:ascii="Wingdings" w:hAnsi="Wingdings" w:hint="default"/>
      </w:rPr>
    </w:lvl>
    <w:lvl w:ilvl="6" w:tplc="667C359A" w:tentative="1">
      <w:start w:val="1"/>
      <w:numFmt w:val="bullet"/>
      <w:lvlText w:val=""/>
      <w:lvlJc w:val="left"/>
      <w:pPr>
        <w:tabs>
          <w:tab w:val="num" w:pos="5040"/>
        </w:tabs>
        <w:ind w:left="5040" w:hanging="360"/>
      </w:pPr>
      <w:rPr>
        <w:rFonts w:ascii="Wingdings" w:hAnsi="Wingdings" w:hint="default"/>
      </w:rPr>
    </w:lvl>
    <w:lvl w:ilvl="7" w:tplc="D1449EF4" w:tentative="1">
      <w:start w:val="1"/>
      <w:numFmt w:val="bullet"/>
      <w:lvlText w:val=""/>
      <w:lvlJc w:val="left"/>
      <w:pPr>
        <w:tabs>
          <w:tab w:val="num" w:pos="5760"/>
        </w:tabs>
        <w:ind w:left="5760" w:hanging="360"/>
      </w:pPr>
      <w:rPr>
        <w:rFonts w:ascii="Wingdings" w:hAnsi="Wingdings" w:hint="default"/>
      </w:rPr>
    </w:lvl>
    <w:lvl w:ilvl="8" w:tplc="86FC0FE4"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73AD151E"/>
    <w:multiLevelType w:val="hybridMultilevel"/>
    <w:tmpl w:val="D4F0AE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4"/>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0"/>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num>
  <w:num w:numId="9">
    <w:abstractNumId w:val="6"/>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F4A"/>
    <w:rsid w:val="00121800"/>
    <w:rsid w:val="00147CD8"/>
    <w:rsid w:val="00173069"/>
    <w:rsid w:val="001C3335"/>
    <w:rsid w:val="002243F4"/>
    <w:rsid w:val="0023165F"/>
    <w:rsid w:val="00295824"/>
    <w:rsid w:val="002D52FB"/>
    <w:rsid w:val="003238C7"/>
    <w:rsid w:val="0033788D"/>
    <w:rsid w:val="00347322"/>
    <w:rsid w:val="00380717"/>
    <w:rsid w:val="003B74C7"/>
    <w:rsid w:val="003E32D6"/>
    <w:rsid w:val="003E51DF"/>
    <w:rsid w:val="00410FE1"/>
    <w:rsid w:val="00490634"/>
    <w:rsid w:val="004926EB"/>
    <w:rsid w:val="005C399E"/>
    <w:rsid w:val="005D1214"/>
    <w:rsid w:val="006361E6"/>
    <w:rsid w:val="00707CCB"/>
    <w:rsid w:val="00747754"/>
    <w:rsid w:val="00755852"/>
    <w:rsid w:val="00776D52"/>
    <w:rsid w:val="007830C5"/>
    <w:rsid w:val="00791872"/>
    <w:rsid w:val="007C4B81"/>
    <w:rsid w:val="008136A4"/>
    <w:rsid w:val="008408D4"/>
    <w:rsid w:val="00845FF0"/>
    <w:rsid w:val="00856D60"/>
    <w:rsid w:val="008721F7"/>
    <w:rsid w:val="00885F41"/>
    <w:rsid w:val="008A711F"/>
    <w:rsid w:val="008F2F4A"/>
    <w:rsid w:val="008F3DE8"/>
    <w:rsid w:val="009030CE"/>
    <w:rsid w:val="00984EFA"/>
    <w:rsid w:val="00A036F6"/>
    <w:rsid w:val="00A062AE"/>
    <w:rsid w:val="00A13435"/>
    <w:rsid w:val="00A23A93"/>
    <w:rsid w:val="00A8722B"/>
    <w:rsid w:val="00AC484F"/>
    <w:rsid w:val="00AF60D9"/>
    <w:rsid w:val="00B32E7F"/>
    <w:rsid w:val="00B3692D"/>
    <w:rsid w:val="00BA1244"/>
    <w:rsid w:val="00BA132D"/>
    <w:rsid w:val="00BF69BB"/>
    <w:rsid w:val="00C806BB"/>
    <w:rsid w:val="00C9426E"/>
    <w:rsid w:val="00CC51DC"/>
    <w:rsid w:val="00CF5F24"/>
    <w:rsid w:val="00DB0552"/>
    <w:rsid w:val="00E20830"/>
    <w:rsid w:val="00E5234B"/>
    <w:rsid w:val="00E959C3"/>
    <w:rsid w:val="00EA62F5"/>
    <w:rsid w:val="00EB23E6"/>
    <w:rsid w:val="00F12769"/>
    <w:rsid w:val="00F279D1"/>
    <w:rsid w:val="00FA7BD7"/>
    <w:rsid w:val="00FB70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26040"/>
  <w15:chartTrackingRefBased/>
  <w15:docId w15:val="{DF95DBC7-173B-407C-873E-1B468AE7C6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2F4A"/>
    <w:pPr>
      <w:spacing w:after="0" w:line="240" w:lineRule="auto"/>
    </w:pPr>
    <w:rPr>
      <w:rFonts w:ascii="Calibri" w:hAnsi="Calibri" w:cs="Calibri"/>
    </w:rPr>
  </w:style>
  <w:style w:type="paragraph" w:styleId="Heading1">
    <w:name w:val="heading 1"/>
    <w:basedOn w:val="Normal"/>
    <w:link w:val="Heading1Char"/>
    <w:uiPriority w:val="9"/>
    <w:qFormat/>
    <w:rsid w:val="008F2F4A"/>
    <w:pPr>
      <w:spacing w:before="100" w:beforeAutospacing="1" w:after="100" w:afterAutospacing="1"/>
      <w:outlineLvl w:val="0"/>
    </w:pPr>
    <w:rPr>
      <w:rFonts w:eastAsia="Times New Roman"/>
      <w:b/>
      <w:bCs/>
      <w:kern w:val="36"/>
      <w:sz w:val="48"/>
      <w:szCs w:val="48"/>
    </w:rPr>
  </w:style>
  <w:style w:type="paragraph" w:styleId="Heading2">
    <w:name w:val="heading 2"/>
    <w:basedOn w:val="Normal"/>
    <w:next w:val="Normal"/>
    <w:link w:val="Heading2Char"/>
    <w:uiPriority w:val="9"/>
    <w:unhideWhenUsed/>
    <w:qFormat/>
    <w:rsid w:val="008F2F4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unhideWhenUsed/>
    <w:qFormat/>
    <w:rsid w:val="008F2F4A"/>
    <w:pPr>
      <w:spacing w:before="100" w:beforeAutospacing="1" w:after="100" w:afterAutospacing="1"/>
      <w:outlineLvl w:val="2"/>
    </w:pPr>
    <w:rPr>
      <w:rFonts w:eastAsia="Times New Roman"/>
      <w:b/>
      <w:bCs/>
      <w:sz w:val="27"/>
      <w:szCs w:val="27"/>
    </w:rPr>
  </w:style>
  <w:style w:type="paragraph" w:styleId="Heading4">
    <w:name w:val="heading 4"/>
    <w:basedOn w:val="Normal"/>
    <w:next w:val="Normal"/>
    <w:link w:val="Heading4Char"/>
    <w:uiPriority w:val="9"/>
    <w:unhideWhenUsed/>
    <w:qFormat/>
    <w:rsid w:val="00707CCB"/>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2F4A"/>
    <w:rPr>
      <w:rFonts w:ascii="Calibri" w:eastAsia="Times New Roman" w:hAnsi="Calibri" w:cs="Calibri"/>
      <w:b/>
      <w:bCs/>
      <w:kern w:val="36"/>
      <w:sz w:val="48"/>
      <w:szCs w:val="48"/>
    </w:rPr>
  </w:style>
  <w:style w:type="character" w:customStyle="1" w:styleId="Heading3Char">
    <w:name w:val="Heading 3 Char"/>
    <w:basedOn w:val="DefaultParagraphFont"/>
    <w:link w:val="Heading3"/>
    <w:uiPriority w:val="9"/>
    <w:rsid w:val="008F2F4A"/>
    <w:rPr>
      <w:rFonts w:ascii="Calibri" w:eastAsia="Times New Roman" w:hAnsi="Calibri" w:cs="Calibri"/>
      <w:b/>
      <w:bCs/>
      <w:sz w:val="27"/>
      <w:szCs w:val="27"/>
    </w:rPr>
  </w:style>
  <w:style w:type="character" w:styleId="Hyperlink">
    <w:name w:val="Hyperlink"/>
    <w:basedOn w:val="DefaultParagraphFont"/>
    <w:uiPriority w:val="99"/>
    <w:unhideWhenUsed/>
    <w:rsid w:val="008F2F4A"/>
    <w:rPr>
      <w:color w:val="0563C1"/>
      <w:u w:val="single"/>
    </w:rPr>
  </w:style>
  <w:style w:type="paragraph" w:styleId="NormalWeb">
    <w:name w:val="Normal (Web)"/>
    <w:basedOn w:val="Normal"/>
    <w:uiPriority w:val="99"/>
    <w:unhideWhenUsed/>
    <w:rsid w:val="008F2F4A"/>
    <w:pPr>
      <w:spacing w:before="100" w:beforeAutospacing="1" w:after="100" w:afterAutospacing="1"/>
    </w:pPr>
    <w:rPr>
      <w:rFonts w:eastAsia="Times New Roman"/>
    </w:rPr>
  </w:style>
  <w:style w:type="character" w:styleId="Emphasis">
    <w:name w:val="Emphasis"/>
    <w:basedOn w:val="DefaultParagraphFont"/>
    <w:uiPriority w:val="20"/>
    <w:qFormat/>
    <w:rsid w:val="008F2F4A"/>
    <w:rPr>
      <w:i/>
      <w:iCs/>
    </w:rPr>
  </w:style>
  <w:style w:type="character" w:styleId="Strong">
    <w:name w:val="Strong"/>
    <w:basedOn w:val="DefaultParagraphFont"/>
    <w:uiPriority w:val="22"/>
    <w:qFormat/>
    <w:rsid w:val="008F2F4A"/>
    <w:rPr>
      <w:b/>
      <w:bCs/>
    </w:rPr>
  </w:style>
  <w:style w:type="character" w:customStyle="1" w:styleId="Heading2Char">
    <w:name w:val="Heading 2 Char"/>
    <w:basedOn w:val="DefaultParagraphFont"/>
    <w:link w:val="Heading2"/>
    <w:uiPriority w:val="9"/>
    <w:rsid w:val="008F2F4A"/>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8F2F4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2F4A"/>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7830C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30C5"/>
    <w:rPr>
      <w:rFonts w:ascii="Segoe UI" w:hAnsi="Segoe UI" w:cs="Segoe UI"/>
      <w:sz w:val="18"/>
      <w:szCs w:val="18"/>
    </w:rPr>
  </w:style>
  <w:style w:type="paragraph" w:styleId="ListParagraph">
    <w:name w:val="List Paragraph"/>
    <w:basedOn w:val="Normal"/>
    <w:uiPriority w:val="34"/>
    <w:qFormat/>
    <w:rsid w:val="009030CE"/>
    <w:pPr>
      <w:ind w:left="720"/>
      <w:contextualSpacing/>
    </w:pPr>
  </w:style>
  <w:style w:type="paragraph" w:styleId="Subtitle">
    <w:name w:val="Subtitle"/>
    <w:basedOn w:val="Normal"/>
    <w:next w:val="Normal"/>
    <w:link w:val="SubtitleChar"/>
    <w:uiPriority w:val="11"/>
    <w:qFormat/>
    <w:rsid w:val="00BF69BB"/>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BF69BB"/>
    <w:rPr>
      <w:rFonts w:eastAsiaTheme="minorEastAsia"/>
      <w:color w:val="5A5A5A" w:themeColor="text1" w:themeTint="A5"/>
      <w:spacing w:val="15"/>
    </w:rPr>
  </w:style>
  <w:style w:type="character" w:styleId="FollowedHyperlink">
    <w:name w:val="FollowedHyperlink"/>
    <w:basedOn w:val="DefaultParagraphFont"/>
    <w:uiPriority w:val="99"/>
    <w:semiHidden/>
    <w:unhideWhenUsed/>
    <w:rsid w:val="008408D4"/>
    <w:rPr>
      <w:color w:val="954F72" w:themeColor="followedHyperlink"/>
      <w:u w:val="single"/>
    </w:rPr>
  </w:style>
  <w:style w:type="paragraph" w:styleId="Header">
    <w:name w:val="header"/>
    <w:basedOn w:val="Normal"/>
    <w:link w:val="HeaderChar"/>
    <w:uiPriority w:val="99"/>
    <w:unhideWhenUsed/>
    <w:rsid w:val="00A8722B"/>
    <w:pPr>
      <w:tabs>
        <w:tab w:val="center" w:pos="4680"/>
        <w:tab w:val="right" w:pos="9360"/>
      </w:tabs>
    </w:pPr>
  </w:style>
  <w:style w:type="character" w:customStyle="1" w:styleId="HeaderChar">
    <w:name w:val="Header Char"/>
    <w:basedOn w:val="DefaultParagraphFont"/>
    <w:link w:val="Header"/>
    <w:uiPriority w:val="99"/>
    <w:rsid w:val="00A8722B"/>
    <w:rPr>
      <w:rFonts w:ascii="Calibri" w:hAnsi="Calibri" w:cs="Calibri"/>
    </w:rPr>
  </w:style>
  <w:style w:type="paragraph" w:styleId="Footer">
    <w:name w:val="footer"/>
    <w:basedOn w:val="Normal"/>
    <w:link w:val="FooterChar"/>
    <w:uiPriority w:val="99"/>
    <w:unhideWhenUsed/>
    <w:rsid w:val="00A8722B"/>
    <w:pPr>
      <w:tabs>
        <w:tab w:val="center" w:pos="4680"/>
        <w:tab w:val="right" w:pos="9360"/>
      </w:tabs>
    </w:pPr>
  </w:style>
  <w:style w:type="character" w:customStyle="1" w:styleId="FooterChar">
    <w:name w:val="Footer Char"/>
    <w:basedOn w:val="DefaultParagraphFont"/>
    <w:link w:val="Footer"/>
    <w:uiPriority w:val="99"/>
    <w:rsid w:val="00A8722B"/>
    <w:rPr>
      <w:rFonts w:ascii="Calibri" w:hAnsi="Calibri" w:cs="Calibri"/>
    </w:rPr>
  </w:style>
  <w:style w:type="paragraph" w:styleId="FootnoteText">
    <w:name w:val="footnote text"/>
    <w:basedOn w:val="Normal"/>
    <w:link w:val="FootnoteTextChar"/>
    <w:uiPriority w:val="99"/>
    <w:semiHidden/>
    <w:unhideWhenUsed/>
    <w:rsid w:val="00E959C3"/>
    <w:rPr>
      <w:sz w:val="20"/>
      <w:szCs w:val="20"/>
    </w:rPr>
  </w:style>
  <w:style w:type="character" w:customStyle="1" w:styleId="FootnoteTextChar">
    <w:name w:val="Footnote Text Char"/>
    <w:basedOn w:val="DefaultParagraphFont"/>
    <w:link w:val="FootnoteText"/>
    <w:uiPriority w:val="99"/>
    <w:semiHidden/>
    <w:rsid w:val="00E959C3"/>
    <w:rPr>
      <w:rFonts w:ascii="Calibri" w:hAnsi="Calibri" w:cs="Calibri"/>
      <w:sz w:val="20"/>
      <w:szCs w:val="20"/>
    </w:rPr>
  </w:style>
  <w:style w:type="character" w:styleId="FootnoteReference">
    <w:name w:val="footnote reference"/>
    <w:basedOn w:val="DefaultParagraphFont"/>
    <w:uiPriority w:val="99"/>
    <w:semiHidden/>
    <w:unhideWhenUsed/>
    <w:rsid w:val="00E959C3"/>
    <w:rPr>
      <w:vertAlign w:val="superscript"/>
    </w:rPr>
  </w:style>
  <w:style w:type="character" w:customStyle="1" w:styleId="Heading4Char">
    <w:name w:val="Heading 4 Char"/>
    <w:basedOn w:val="DefaultParagraphFont"/>
    <w:link w:val="Heading4"/>
    <w:uiPriority w:val="9"/>
    <w:rsid w:val="00707CCB"/>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410FE1"/>
    <w:rPr>
      <w:color w:val="605E5C"/>
      <w:shd w:val="clear" w:color="auto" w:fill="E1DFDD"/>
    </w:rPr>
  </w:style>
  <w:style w:type="paragraph" w:styleId="Caption">
    <w:name w:val="caption"/>
    <w:basedOn w:val="Normal"/>
    <w:next w:val="Normal"/>
    <w:unhideWhenUsed/>
    <w:qFormat/>
    <w:rsid w:val="0033788D"/>
    <w:pPr>
      <w:autoSpaceDE w:val="0"/>
      <w:autoSpaceDN w:val="0"/>
      <w:adjustRightInd w:val="0"/>
      <w:spacing w:after="200"/>
    </w:pPr>
    <w:rPr>
      <w:rFonts w:ascii="Tahoma" w:eastAsia="Times New Roman" w:hAnsi="Tahoma" w:cs="Tahoma"/>
      <w:i/>
      <w:iCs/>
      <w:color w:val="44546A" w:themeColor="text2"/>
      <w:sz w:val="18"/>
      <w:szCs w:val="18"/>
    </w:rPr>
  </w:style>
  <w:style w:type="table" w:styleId="TableGrid">
    <w:name w:val="Table Grid"/>
    <w:basedOn w:val="TableNormal"/>
    <w:uiPriority w:val="39"/>
    <w:rsid w:val="00A23A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744594">
      <w:bodyDiv w:val="1"/>
      <w:marLeft w:val="0"/>
      <w:marRight w:val="0"/>
      <w:marTop w:val="0"/>
      <w:marBottom w:val="0"/>
      <w:divBdr>
        <w:top w:val="none" w:sz="0" w:space="0" w:color="auto"/>
        <w:left w:val="none" w:sz="0" w:space="0" w:color="auto"/>
        <w:bottom w:val="none" w:sz="0" w:space="0" w:color="auto"/>
        <w:right w:val="none" w:sz="0" w:space="0" w:color="auto"/>
      </w:divBdr>
    </w:div>
    <w:div w:id="467625663">
      <w:bodyDiv w:val="1"/>
      <w:marLeft w:val="0"/>
      <w:marRight w:val="0"/>
      <w:marTop w:val="0"/>
      <w:marBottom w:val="0"/>
      <w:divBdr>
        <w:top w:val="none" w:sz="0" w:space="0" w:color="auto"/>
        <w:left w:val="none" w:sz="0" w:space="0" w:color="auto"/>
        <w:bottom w:val="none" w:sz="0" w:space="0" w:color="auto"/>
        <w:right w:val="none" w:sz="0" w:space="0" w:color="auto"/>
      </w:divBdr>
    </w:div>
    <w:div w:id="478034036">
      <w:bodyDiv w:val="1"/>
      <w:marLeft w:val="0"/>
      <w:marRight w:val="0"/>
      <w:marTop w:val="0"/>
      <w:marBottom w:val="0"/>
      <w:divBdr>
        <w:top w:val="none" w:sz="0" w:space="0" w:color="auto"/>
        <w:left w:val="none" w:sz="0" w:space="0" w:color="auto"/>
        <w:bottom w:val="none" w:sz="0" w:space="0" w:color="auto"/>
        <w:right w:val="none" w:sz="0" w:space="0" w:color="auto"/>
      </w:divBdr>
      <w:divsChild>
        <w:div w:id="638345769">
          <w:marLeft w:val="1440"/>
          <w:marRight w:val="0"/>
          <w:marTop w:val="0"/>
          <w:marBottom w:val="0"/>
          <w:divBdr>
            <w:top w:val="none" w:sz="0" w:space="0" w:color="auto"/>
            <w:left w:val="none" w:sz="0" w:space="0" w:color="auto"/>
            <w:bottom w:val="none" w:sz="0" w:space="0" w:color="auto"/>
            <w:right w:val="none" w:sz="0" w:space="0" w:color="auto"/>
          </w:divBdr>
        </w:div>
        <w:div w:id="2041008815">
          <w:marLeft w:val="1440"/>
          <w:marRight w:val="0"/>
          <w:marTop w:val="0"/>
          <w:marBottom w:val="0"/>
          <w:divBdr>
            <w:top w:val="none" w:sz="0" w:space="0" w:color="auto"/>
            <w:left w:val="none" w:sz="0" w:space="0" w:color="auto"/>
            <w:bottom w:val="none" w:sz="0" w:space="0" w:color="auto"/>
            <w:right w:val="none" w:sz="0" w:space="0" w:color="auto"/>
          </w:divBdr>
        </w:div>
        <w:div w:id="86077882">
          <w:marLeft w:val="1440"/>
          <w:marRight w:val="0"/>
          <w:marTop w:val="0"/>
          <w:marBottom w:val="0"/>
          <w:divBdr>
            <w:top w:val="none" w:sz="0" w:space="0" w:color="auto"/>
            <w:left w:val="none" w:sz="0" w:space="0" w:color="auto"/>
            <w:bottom w:val="none" w:sz="0" w:space="0" w:color="auto"/>
            <w:right w:val="none" w:sz="0" w:space="0" w:color="auto"/>
          </w:divBdr>
        </w:div>
      </w:divsChild>
    </w:div>
    <w:div w:id="647327463">
      <w:bodyDiv w:val="1"/>
      <w:marLeft w:val="0"/>
      <w:marRight w:val="0"/>
      <w:marTop w:val="0"/>
      <w:marBottom w:val="0"/>
      <w:divBdr>
        <w:top w:val="none" w:sz="0" w:space="0" w:color="auto"/>
        <w:left w:val="none" w:sz="0" w:space="0" w:color="auto"/>
        <w:bottom w:val="none" w:sz="0" w:space="0" w:color="auto"/>
        <w:right w:val="none" w:sz="0" w:space="0" w:color="auto"/>
      </w:divBdr>
    </w:div>
    <w:div w:id="862791134">
      <w:bodyDiv w:val="1"/>
      <w:marLeft w:val="0"/>
      <w:marRight w:val="0"/>
      <w:marTop w:val="0"/>
      <w:marBottom w:val="0"/>
      <w:divBdr>
        <w:top w:val="none" w:sz="0" w:space="0" w:color="auto"/>
        <w:left w:val="none" w:sz="0" w:space="0" w:color="auto"/>
        <w:bottom w:val="none" w:sz="0" w:space="0" w:color="auto"/>
        <w:right w:val="none" w:sz="0" w:space="0" w:color="auto"/>
      </w:divBdr>
      <w:divsChild>
        <w:div w:id="722605483">
          <w:marLeft w:val="446"/>
          <w:marRight w:val="0"/>
          <w:marTop w:val="0"/>
          <w:marBottom w:val="0"/>
          <w:divBdr>
            <w:top w:val="none" w:sz="0" w:space="0" w:color="auto"/>
            <w:left w:val="none" w:sz="0" w:space="0" w:color="auto"/>
            <w:bottom w:val="none" w:sz="0" w:space="0" w:color="auto"/>
            <w:right w:val="none" w:sz="0" w:space="0" w:color="auto"/>
          </w:divBdr>
        </w:div>
        <w:div w:id="677536058">
          <w:marLeft w:val="446"/>
          <w:marRight w:val="0"/>
          <w:marTop w:val="0"/>
          <w:marBottom w:val="0"/>
          <w:divBdr>
            <w:top w:val="none" w:sz="0" w:space="0" w:color="auto"/>
            <w:left w:val="none" w:sz="0" w:space="0" w:color="auto"/>
            <w:bottom w:val="none" w:sz="0" w:space="0" w:color="auto"/>
            <w:right w:val="none" w:sz="0" w:space="0" w:color="auto"/>
          </w:divBdr>
        </w:div>
        <w:div w:id="1243418191">
          <w:marLeft w:val="446"/>
          <w:marRight w:val="0"/>
          <w:marTop w:val="0"/>
          <w:marBottom w:val="0"/>
          <w:divBdr>
            <w:top w:val="none" w:sz="0" w:space="0" w:color="auto"/>
            <w:left w:val="none" w:sz="0" w:space="0" w:color="auto"/>
            <w:bottom w:val="none" w:sz="0" w:space="0" w:color="auto"/>
            <w:right w:val="none" w:sz="0" w:space="0" w:color="auto"/>
          </w:divBdr>
        </w:div>
        <w:div w:id="579484321">
          <w:marLeft w:val="1166"/>
          <w:marRight w:val="0"/>
          <w:marTop w:val="0"/>
          <w:marBottom w:val="0"/>
          <w:divBdr>
            <w:top w:val="none" w:sz="0" w:space="0" w:color="auto"/>
            <w:left w:val="none" w:sz="0" w:space="0" w:color="auto"/>
            <w:bottom w:val="none" w:sz="0" w:space="0" w:color="auto"/>
            <w:right w:val="none" w:sz="0" w:space="0" w:color="auto"/>
          </w:divBdr>
        </w:div>
        <w:div w:id="1869678954">
          <w:marLeft w:val="446"/>
          <w:marRight w:val="0"/>
          <w:marTop w:val="0"/>
          <w:marBottom w:val="0"/>
          <w:divBdr>
            <w:top w:val="none" w:sz="0" w:space="0" w:color="auto"/>
            <w:left w:val="none" w:sz="0" w:space="0" w:color="auto"/>
            <w:bottom w:val="none" w:sz="0" w:space="0" w:color="auto"/>
            <w:right w:val="none" w:sz="0" w:space="0" w:color="auto"/>
          </w:divBdr>
        </w:div>
        <w:div w:id="868833227">
          <w:marLeft w:val="1166"/>
          <w:marRight w:val="0"/>
          <w:marTop w:val="0"/>
          <w:marBottom w:val="0"/>
          <w:divBdr>
            <w:top w:val="none" w:sz="0" w:space="0" w:color="auto"/>
            <w:left w:val="none" w:sz="0" w:space="0" w:color="auto"/>
            <w:bottom w:val="none" w:sz="0" w:space="0" w:color="auto"/>
            <w:right w:val="none" w:sz="0" w:space="0" w:color="auto"/>
          </w:divBdr>
        </w:div>
      </w:divsChild>
    </w:div>
    <w:div w:id="1079208487">
      <w:bodyDiv w:val="1"/>
      <w:marLeft w:val="0"/>
      <w:marRight w:val="0"/>
      <w:marTop w:val="0"/>
      <w:marBottom w:val="0"/>
      <w:divBdr>
        <w:top w:val="none" w:sz="0" w:space="0" w:color="auto"/>
        <w:left w:val="none" w:sz="0" w:space="0" w:color="auto"/>
        <w:bottom w:val="none" w:sz="0" w:space="0" w:color="auto"/>
        <w:right w:val="none" w:sz="0" w:space="0" w:color="auto"/>
      </w:divBdr>
    </w:div>
    <w:div w:id="1357191833">
      <w:bodyDiv w:val="1"/>
      <w:marLeft w:val="0"/>
      <w:marRight w:val="0"/>
      <w:marTop w:val="0"/>
      <w:marBottom w:val="0"/>
      <w:divBdr>
        <w:top w:val="none" w:sz="0" w:space="0" w:color="auto"/>
        <w:left w:val="none" w:sz="0" w:space="0" w:color="auto"/>
        <w:bottom w:val="none" w:sz="0" w:space="0" w:color="auto"/>
        <w:right w:val="none" w:sz="0" w:space="0" w:color="auto"/>
      </w:divBdr>
    </w:div>
    <w:div w:id="1625037225">
      <w:bodyDiv w:val="1"/>
      <w:marLeft w:val="0"/>
      <w:marRight w:val="0"/>
      <w:marTop w:val="0"/>
      <w:marBottom w:val="0"/>
      <w:divBdr>
        <w:top w:val="none" w:sz="0" w:space="0" w:color="auto"/>
        <w:left w:val="none" w:sz="0" w:space="0" w:color="auto"/>
        <w:bottom w:val="none" w:sz="0" w:space="0" w:color="auto"/>
        <w:right w:val="none" w:sz="0" w:space="0" w:color="auto"/>
      </w:divBdr>
    </w:div>
    <w:div w:id="1759405259">
      <w:bodyDiv w:val="1"/>
      <w:marLeft w:val="0"/>
      <w:marRight w:val="0"/>
      <w:marTop w:val="0"/>
      <w:marBottom w:val="0"/>
      <w:divBdr>
        <w:top w:val="none" w:sz="0" w:space="0" w:color="auto"/>
        <w:left w:val="none" w:sz="0" w:space="0" w:color="auto"/>
        <w:bottom w:val="none" w:sz="0" w:space="0" w:color="auto"/>
        <w:right w:val="none" w:sz="0" w:space="0" w:color="auto"/>
      </w:divBdr>
      <w:divsChild>
        <w:div w:id="1700281158">
          <w:marLeft w:val="547"/>
          <w:marRight w:val="0"/>
          <w:marTop w:val="115"/>
          <w:marBottom w:val="135"/>
          <w:divBdr>
            <w:top w:val="none" w:sz="0" w:space="0" w:color="auto"/>
            <w:left w:val="none" w:sz="0" w:space="0" w:color="auto"/>
            <w:bottom w:val="none" w:sz="0" w:space="0" w:color="auto"/>
            <w:right w:val="none" w:sz="0" w:space="0" w:color="auto"/>
          </w:divBdr>
        </w:div>
        <w:div w:id="722945226">
          <w:marLeft w:val="547"/>
          <w:marRight w:val="0"/>
          <w:marTop w:val="115"/>
          <w:marBottom w:val="135"/>
          <w:divBdr>
            <w:top w:val="none" w:sz="0" w:space="0" w:color="auto"/>
            <w:left w:val="none" w:sz="0" w:space="0" w:color="auto"/>
            <w:bottom w:val="none" w:sz="0" w:space="0" w:color="auto"/>
            <w:right w:val="none" w:sz="0" w:space="0" w:color="auto"/>
          </w:divBdr>
        </w:div>
        <w:div w:id="154493622">
          <w:marLeft w:val="547"/>
          <w:marRight w:val="0"/>
          <w:marTop w:val="115"/>
          <w:marBottom w:val="135"/>
          <w:divBdr>
            <w:top w:val="none" w:sz="0" w:space="0" w:color="auto"/>
            <w:left w:val="none" w:sz="0" w:space="0" w:color="auto"/>
            <w:bottom w:val="none" w:sz="0" w:space="0" w:color="auto"/>
            <w:right w:val="none" w:sz="0" w:space="0" w:color="auto"/>
          </w:divBdr>
        </w:div>
        <w:div w:id="1019234622">
          <w:marLeft w:val="547"/>
          <w:marRight w:val="0"/>
          <w:marTop w:val="115"/>
          <w:marBottom w:val="135"/>
          <w:divBdr>
            <w:top w:val="none" w:sz="0" w:space="0" w:color="auto"/>
            <w:left w:val="none" w:sz="0" w:space="0" w:color="auto"/>
            <w:bottom w:val="none" w:sz="0" w:space="0" w:color="auto"/>
            <w:right w:val="none" w:sz="0" w:space="0" w:color="auto"/>
          </w:divBdr>
        </w:div>
      </w:divsChild>
    </w:div>
    <w:div w:id="1928270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comptox-prod.epa.gov/dashboard/dsstoxdb/batch_search"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wikidata.org/wiki/Property:P3117" TargetMode="External"/><Relationship Id="rId14" Type="http://schemas.openxmlformats.org/officeDocument/2006/relationships/hyperlink" Target="https://www.cyprotex.com/admep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F22646-5C74-4FE7-B1EE-48071DA2C4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10</Pages>
  <Words>1859</Words>
  <Characters>10599</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Wambaugh, John</dc:creator>
  <cp:keywords/>
  <dc:description/>
  <cp:lastModifiedBy>Wambaugh, John</cp:lastModifiedBy>
  <cp:revision>4</cp:revision>
  <dcterms:created xsi:type="dcterms:W3CDTF">2020-10-26T14:59:00Z</dcterms:created>
  <dcterms:modified xsi:type="dcterms:W3CDTF">2020-10-26T15:06:00Z</dcterms:modified>
</cp:coreProperties>
</file>