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50.png" ContentType="image/png"/>
  <Override PartName="/word/media/rId60.png" ContentType="image/png"/>
  <Override PartName="/word/media/rId54.png" ContentType="image/png"/>
  <Override PartName="/word/media/rId5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the</w:t>
      </w:r>
      <w:r>
        <w:t xml:space="preserve"> </w:t>
      </w:r>
      <w:r>
        <w:t xml:space="preserve">R</w:t>
      </w:r>
      <w:r>
        <w:t xml:space="preserve"> </w:t>
      </w:r>
      <w:r>
        <w:t xml:space="preserve">package,</w:t>
      </w:r>
      <w:r>
        <w:t xml:space="preserve"> </w:t>
      </w:r>
      <w:r>
        <w:rPr>
          <w:iCs/>
          <w:i/>
        </w:rPr>
        <w:t xml:space="preserve">nsink</w:t>
      </w:r>
    </w:p>
    <w:p>
      <w:pPr>
        <w:pStyle w:val="Author"/>
      </w:pPr>
      <w:r>
        <w:t xml:space="preserve">Dorothy</w:t>
      </w:r>
      <w:r>
        <w:t xml:space="preserve"> </w:t>
      </w:r>
      <w:r>
        <w:t xml:space="preserve">Q</w:t>
      </w:r>
      <w:r>
        <w:t xml:space="preserve"> </w:t>
      </w:r>
      <w:r>
        <w:t xml:space="preserve">Kellogg</w:t>
      </w:r>
      <w:r>
        <w:rPr>
          <w:iCs/>
          <w:i/>
          <w:vertAlign w:val="superscript"/>
        </w:rPr>
        <w:t xml:space="preserve">1</w:t>
      </w:r>
      <w:r>
        <w:rPr>
          <w:vertAlign w:val="superscript"/>
        </w:rPr>
        <w:t xml:space="preserve">*</w:t>
      </w:r>
      <w:r>
        <w:t xml:space="preserve">,</w:t>
      </w:r>
      <w:r>
        <w:t xml:space="preserve"> </w:t>
      </w:r>
      <w:r>
        <w:t xml:space="preserve">Jeffrey</w:t>
      </w:r>
      <w:r>
        <w:t xml:space="preserve"> </w:t>
      </w:r>
      <w:r>
        <w:t xml:space="preserve">W.</w:t>
      </w:r>
      <w:r>
        <w:t xml:space="preserve"> </w:t>
      </w:r>
      <w:r>
        <w:t xml:space="preserve">Hollister</w:t>
      </w:r>
      <w:r>
        <w:rPr>
          <w:iCs/>
          <w:i/>
          <w:vertAlign w:val="superscript"/>
        </w:rPr>
        <w:t xml:space="preserve">2</w:t>
      </w:r>
      <w:r>
        <w:t xml:space="preserve">,</w:t>
      </w:r>
      <w:r>
        <w:t xml:space="preserve"> </w:t>
      </w:r>
      <w:r>
        <w:t xml:space="preserve">Chester</w:t>
      </w:r>
      <w:r>
        <w:t xml:space="preserve"> </w:t>
      </w:r>
      <w:r>
        <w:t xml:space="preserve">L.</w:t>
      </w:r>
      <w:r>
        <w:t xml:space="preserve"> </w:t>
      </w:r>
      <w:r>
        <w:t xml:space="preserve">Arnold</w:t>
      </w:r>
      <w:r>
        <w:rPr>
          <w:iCs/>
          <w:i/>
          <w:vertAlign w:val="superscript"/>
        </w:rPr>
        <w:t xml:space="preserve">3</w:t>
      </w:r>
      <w:r>
        <w:t xml:space="preserve">,</w:t>
      </w:r>
      <w:r>
        <w:t xml:space="preserve"> </w:t>
      </w:r>
      <w:r>
        <w:t xml:space="preserve">Arthur</w:t>
      </w:r>
      <w:r>
        <w:t xml:space="preserve"> </w:t>
      </w:r>
      <w:r>
        <w:t xml:space="preserve">J.</w:t>
      </w:r>
      <w:r>
        <w:t xml:space="preserve"> </w:t>
      </w:r>
      <w:r>
        <w:t xml:space="preserve">Gold</w:t>
      </w:r>
      <w:r>
        <w:rPr>
          <w:iCs/>
          <w:i/>
          <w:vertAlign w:val="superscript"/>
        </w:rPr>
        <w:t xml:space="preserve">1</w:t>
      </w:r>
      <w:r>
        <w:t xml:space="preserve">,</w:t>
      </w:r>
      <w:r>
        <w:t xml:space="preserve"> </w:t>
      </w:r>
      <w:r>
        <w:t xml:space="preserve">Emily</w:t>
      </w:r>
      <w:r>
        <w:t xml:space="preserve"> </w:t>
      </w:r>
      <w:r>
        <w:t xml:space="preserve">H.</w:t>
      </w:r>
      <w:r>
        <w:t xml:space="preserve"> </w:t>
      </w:r>
      <w:r>
        <w:t xml:space="preserve">Wilson</w:t>
      </w:r>
      <w:r>
        <w:rPr>
          <w:iCs/>
          <w:i/>
          <w:vertAlign w:val="superscript"/>
        </w:rPr>
        <w:t xml:space="preserve">3</w:t>
      </w:r>
      <w:r>
        <w:t xml:space="preserve">,</w:t>
      </w:r>
      <w:r>
        <w:t xml:space="preserve"> </w:t>
      </w:r>
      <w:r>
        <w:t xml:space="preserve">Cary</w:t>
      </w:r>
      <w:r>
        <w:t xml:space="preserve"> </w:t>
      </w:r>
      <w:r>
        <w:t xml:space="preserve">B.</w:t>
      </w:r>
      <w:r>
        <w:t xml:space="preserve"> </w:t>
      </w:r>
      <w:r>
        <w:t xml:space="preserve">Chadwick</w:t>
      </w:r>
      <w:r>
        <w:rPr>
          <w:iCs/>
          <w:i/>
          <w:vertAlign w:val="superscript"/>
        </w:rPr>
        <w:t xml:space="preserve">3</w:t>
      </w:r>
      <w:r>
        <w:t xml:space="preserve">,</w:t>
      </w:r>
      <w:r>
        <w:t xml:space="preserve"> </w:t>
      </w:r>
      <w:r>
        <w:t xml:space="preserve">David</w:t>
      </w:r>
      <w:r>
        <w:t xml:space="preserve"> </w:t>
      </w:r>
      <w:r>
        <w:t xml:space="preserve">W.</w:t>
      </w:r>
      <w:r>
        <w:t xml:space="preserve"> </w:t>
      </w:r>
      <w:r>
        <w:t xml:space="preserve">Dickson</w:t>
      </w:r>
      <w:r>
        <w:rPr>
          <w:iCs/>
          <w:i/>
          <w:vertAlign w:val="superscript"/>
        </w:rPr>
        <w:t xml:space="preserve">3</w:t>
      </w:r>
      <w:r>
        <w:t xml:space="preserve">,</w:t>
      </w:r>
      <w:r>
        <w:t xml:space="preserve"> </w:t>
      </w:r>
      <w:r>
        <w:t xml:space="preserve">Qian</w:t>
      </w:r>
      <w:r>
        <w:t xml:space="preserve"> </w:t>
      </w:r>
      <w:r>
        <w:t xml:space="preserve">Lei-Parent</w:t>
      </w:r>
      <w:r>
        <w:rPr>
          <w:iCs/>
          <w:i/>
          <w:vertAlign w:val="superscript"/>
        </w:rPr>
        <w:t xml:space="preserve">3</w:t>
      </w:r>
      <w:r>
        <w:t xml:space="preserve">,</w:t>
      </w:r>
      <w:r>
        <w:t xml:space="preserve"> </w:t>
      </w:r>
      <w:r>
        <w:t xml:space="preserve">Kenneth</w:t>
      </w:r>
      <w:r>
        <w:t xml:space="preserve"> </w:t>
      </w:r>
      <w:r>
        <w:t xml:space="preserve">J.</w:t>
      </w:r>
      <w:r>
        <w:t xml:space="preserve"> </w:t>
      </w:r>
      <w:r>
        <w:t xml:space="preserve">Forshay</w:t>
      </w:r>
      <w:r>
        <w:rPr>
          <w:iCs/>
          <w:i/>
          <w:vertAlign w:val="superscript"/>
        </w:rPr>
        <w:t xml:space="preserve">4</w:t>
      </w:r>
    </w:p>
    <w:p>
      <w:pPr>
        <w:pStyle w:val="Author"/>
      </w:pPr>
      <w:r>
        <w:rPr>
          <w:iCs/>
          <w:i/>
          <w:vertAlign w:val="superscript"/>
        </w:rPr>
        <w:t xml:space="preserve">1</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Kingston,</w:t>
      </w:r>
      <w:r>
        <w:t xml:space="preserve"> </w:t>
      </w:r>
      <w:r>
        <w:t xml:space="preserve">RI</w:t>
      </w:r>
      <w:r>
        <w:t xml:space="preserve"> </w:t>
      </w:r>
      <w:r>
        <w:t xml:space="preserve">02881,</w:t>
      </w:r>
      <w:r>
        <w:t xml:space="preserve"> </w:t>
      </w:r>
      <w:r>
        <w:t xml:space="preserve">USA</w:t>
      </w:r>
    </w:p>
    <w:p>
      <w:pPr>
        <w:pStyle w:val="Author"/>
      </w:pPr>
      <w:r>
        <w:rPr>
          <w:iCs/>
          <w:i/>
          <w:vertAlign w:val="superscript"/>
        </w:rPr>
        <w:t xml:space="preserve">2</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Cs/>
          <w:i/>
          <w:vertAlign w:val="superscript"/>
        </w:rPr>
        <w:t xml:space="preserve">3</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Connecticut,</w:t>
      </w:r>
      <w:r>
        <w:t xml:space="preserve"> </w:t>
      </w:r>
      <w:r>
        <w:t xml:space="preserve">Haddam,</w:t>
      </w:r>
      <w:r>
        <w:t xml:space="preserve"> </w:t>
      </w:r>
      <w:r>
        <w:t xml:space="preserve">CT</w:t>
      </w:r>
      <w:r>
        <w:t xml:space="preserve"> </w:t>
      </w:r>
      <w:r>
        <w:t xml:space="preserve">06438,</w:t>
      </w:r>
      <w:r>
        <w:t xml:space="preserve"> </w:t>
      </w:r>
      <w:r>
        <w:t xml:space="preserve">USA</w:t>
      </w:r>
    </w:p>
    <w:p>
      <w:pPr>
        <w:pStyle w:val="Author"/>
      </w:pPr>
      <w:r>
        <w:rPr>
          <w:iCs/>
          <w:i/>
          <w:vertAlign w:val="superscript"/>
        </w:rPr>
        <w:t xml:space="preserve">4</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Division,US</w:t>
      </w:r>
      <w:r>
        <w:t xml:space="preserve"> </w:t>
      </w:r>
      <w:r>
        <w:t xml:space="preserve">Environmental</w:t>
      </w:r>
      <w:r>
        <w:t xml:space="preserve"> </w:t>
      </w:r>
      <w:r>
        <w:t xml:space="preserve">Protection</w:t>
      </w:r>
      <w:r>
        <w:t xml:space="preserve"> </w:t>
      </w:r>
      <w:r>
        <w:t xml:space="preserve">Agency,</w:t>
      </w:r>
      <w:r>
        <w:t xml:space="preserve"> </w:t>
      </w:r>
      <w:r>
        <w:t xml:space="preserve">Ada,</w:t>
      </w:r>
      <w:r>
        <w:t xml:space="preserve"> </w:t>
      </w:r>
      <w:r>
        <w:t xml:space="preserve">OK</w:t>
      </w:r>
      <w:r>
        <w:t xml:space="preserve"> </w:t>
      </w:r>
      <w:r>
        <w:t xml:space="preserve">74820,</w:t>
      </w:r>
      <w:r>
        <w:t xml:space="preserve"> </w:t>
      </w:r>
      <w:r>
        <w:t xml:space="preserve">USA</w:t>
      </w:r>
    </w:p>
    <w:p>
      <w:pPr>
        <w:pStyle w:val="Author"/>
      </w:pPr>
      <w:r>
        <w:rPr>
          <w:vertAlign w:val="superscript"/>
        </w:rPr>
        <w:t xml:space="preserve">*</w:t>
      </w:r>
      <w:r>
        <w:t xml:space="preserve">Corresponding</w:t>
      </w:r>
      <w:r>
        <w:t xml:space="preserve"> </w:t>
      </w:r>
      <w:r>
        <w:t xml:space="preserve">Author:</w:t>
      </w:r>
      <w:r>
        <w:t xml:space="preserve"> </w:t>
      </w:r>
      <w:r>
        <w:t xml:space="preserve">Dorothy</w:t>
      </w:r>
      <w:r>
        <w:t xml:space="preserve"> </w:t>
      </w:r>
      <w:r>
        <w:t xml:space="preserve">Q</w:t>
      </w:r>
      <w:r>
        <w:t xml:space="preserve"> </w:t>
      </w:r>
      <w:r>
        <w:t xml:space="preserve">Kellogg</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Kingston,</w:t>
      </w:r>
      <w:r>
        <w:t xml:space="preserve"> </w:t>
      </w:r>
      <w:r>
        <w:t xml:space="preserve">RI</w:t>
      </w:r>
      <w:r>
        <w:t xml:space="preserve"> </w:t>
      </w:r>
      <w:r>
        <w:t xml:space="preserve">02881,</w:t>
      </w:r>
      <w:r>
        <w:t xml:space="preserve"> </w:t>
      </w:r>
      <w:r>
        <w:t xml:space="preserve">USA</w:t>
      </w:r>
      <w:r>
        <w:t xml:space="preserve"> </w:t>
      </w:r>
      <w:r>
        <w:t xml:space="preserve">Email</w:t>
      </w:r>
      <w:r>
        <w:t xml:space="preserve"> </w:t>
      </w:r>
      <w:r>
        <w:t xml:space="preserve">address:</w:t>
      </w:r>
      <w:r>
        <w:t xml:space="preserve"> </w:t>
      </w:r>
      <w:hyperlink r:id="rId20">
        <w:r>
          <w:rPr>
            <w:rStyle w:val="Hyperlink"/>
          </w:rPr>
          <w:t xml:space="preserve">qkellogg@uri.edu</w:t>
        </w:r>
      </w:hyperlink>
    </w:p>
    <w:p>
      <w:pPr>
        <w:pStyle w:val="Abstract"/>
      </w:pPr>
      <w:r>
        <w:t xml:space="preserve">Background:</w:t>
      </w:r>
      <w:r>
        <w:t xml:space="preserve"> </w:t>
      </w:r>
      <w:r>
        <w:t xml:space="preserve">Excess</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within</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such</w:t>
      </w:r>
      <w:r>
        <w:t xml:space="preserve"> </w:t>
      </w:r>
      <w:r>
        <w:t xml:space="preserve">as</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that</w:t>
      </w:r>
      <w:r>
        <w:t xml:space="preserve"> </w:t>
      </w:r>
      <w:r>
        <w:t xml:space="preserve">transform</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help</w:t>
      </w:r>
      <w:r>
        <w:t xml:space="preserve"> </w:t>
      </w:r>
      <w:r>
        <w:t xml:space="preserve">managers</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alternative</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Methods:</w:t>
      </w:r>
      <w:r>
        <w:t xml:space="preserve"> </w:t>
      </w:r>
      <w:r>
        <w:t xml:space="preserve">The</w:t>
      </w:r>
      <w:r>
        <w:t xml:space="preserve"> </w:t>
      </w:r>
      <w:r>
        <w:t xml:space="preserve">N-Sink</w:t>
      </w:r>
      <w:r>
        <w:t xml:space="preserve"> </w:t>
      </w:r>
      <w:r>
        <w:t xml:space="preserve">approach</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The</w:t>
      </w:r>
      <w:r>
        <w:t xml:space="preserve"> </w:t>
      </w:r>
      <w:r>
        <w:t xml:space="preserve">R</w:t>
      </w:r>
      <w:r>
        <w:t xml:space="preserve"> </w:t>
      </w:r>
      <w:r>
        <w:t xml:space="preserve">package</w:t>
      </w:r>
      <w:r>
        <w:t xml:space="preserve"> </w:t>
      </w:r>
      <w:r>
        <w:rPr>
          <w:iCs/>
          <w:i/>
        </w:rPr>
        <w:t xml:space="preserve">nsink</w:t>
      </w:r>
      <w:r>
        <w:t xml:space="preserve"> </w:t>
      </w:r>
      <w:r>
        <w:t xml:space="preserve">was</w:t>
      </w:r>
      <w:r>
        <w:t xml:space="preserve"> </w:t>
      </w:r>
      <w:r>
        <w:t xml:space="preserve">developed</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Results:</w:t>
      </w:r>
      <w:r>
        <w:t xml:space="preserve"> </w:t>
      </w:r>
      <w:r>
        <w:t xml:space="preserve">The</w:t>
      </w:r>
      <w:r>
        <w:t xml:space="preserve"> </w:t>
      </w:r>
      <w:r>
        <w:t xml:space="preserve">R</w:t>
      </w:r>
      <w:r>
        <w:t xml:space="preserve"> </w:t>
      </w:r>
      <w:r>
        <w:t xml:space="preserve">package</w:t>
      </w:r>
      <w:r>
        <w:t xml:space="preserve"> </w:t>
      </w:r>
      <w:r>
        <w:t xml:space="preserve">creates</w:t>
      </w:r>
      <w:r>
        <w:t xml:space="preserve"> </w:t>
      </w:r>
      <w:r>
        <w:t xml:space="preserve">static</w:t>
      </w:r>
      <w:r>
        <w:t xml:space="preserve"> </w:t>
      </w:r>
      <w:r>
        <w:t xml:space="preserve">maps</w:t>
      </w:r>
      <w:r>
        <w:t xml:space="preserve"> </w:t>
      </w:r>
      <w:r>
        <w:t xml:space="preserve">for</w:t>
      </w:r>
      <w:r>
        <w:t xml:space="preserve"> </w:t>
      </w:r>
      <w:r>
        <w:t xml:space="preserve">a</w:t>
      </w:r>
      <w:r>
        <w:t xml:space="preserve"> </w:t>
      </w:r>
      <w:r>
        <w:t xml:space="preserve">specific</w:t>
      </w:r>
      <w:r>
        <w:t xml:space="preserve"> </w:t>
      </w:r>
      <w:r>
        <w:t xml:space="preserve">HUC-12</w:t>
      </w:r>
      <w:r>
        <w:t xml:space="preserve"> </w:t>
      </w:r>
      <w:r>
        <w:t xml:space="preserve">,</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hyperlink r:id="rId21">
        <w:r>
          <w:rPr>
            <w:rStyle w:val="Hyperlink"/>
          </w:rPr>
          <w:t xml:space="preserve">website</w:t>
        </w:r>
      </w:hyperlink>
      <w:r>
        <w:t xml:space="preserve"> </w:t>
      </w:r>
      <w:r>
        <w:t xml:space="preserve">to</w:t>
      </w:r>
      <w:r>
        <w:t xml:space="preserve"> </w:t>
      </w:r>
      <w:r>
        <w:t xml:space="preserve">explore</w:t>
      </w:r>
      <w:r>
        <w:t xml:space="preserve"> </w:t>
      </w:r>
      <w:r>
        <w:t xml:space="preserve">previously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iCs/>
          <w:i/>
        </w:rPr>
        <w:t xml:space="preserve">nsink</w:t>
      </w:r>
      <w:r>
        <w:t xml:space="preserve">,</w:t>
      </w:r>
      <w:r>
        <w:t xml:space="preserve"> </w:t>
      </w:r>
      <w:r>
        <w:t xml:space="preserve">discuss</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present</w:t>
      </w:r>
      <w:r>
        <w:t xml:space="preserve"> </w:t>
      </w:r>
      <w:r>
        <w:t xml:space="preserve">two</w:t>
      </w:r>
      <w:r>
        <w:t xml:space="preserve"> </w:t>
      </w:r>
      <w:r>
        <w:t xml:space="preserve">use</w:t>
      </w:r>
      <w:r>
        <w:t xml:space="preserve"> </w:t>
      </w:r>
      <w:r>
        <w:t xml:space="preserve">case</w:t>
      </w:r>
      <w:r>
        <w:t xml:space="preserve"> </w:t>
      </w:r>
      <w:r>
        <w:t xml:space="preserve">examples.</w:t>
      </w:r>
      <w:r>
        <w:t xml:space="preserve"> </w:t>
      </w:r>
      <w:r>
        <w:rPr>
          <w:iCs/>
          <w:i/>
        </w:rPr>
        <w:t xml:space="preserve">nsink</w:t>
      </w:r>
      <w:r>
        <w:t xml:space="preserve"> </w:t>
      </w:r>
      <w:r>
        <w:t xml:space="preserve">is</w:t>
      </w:r>
      <w:r>
        <w:t xml:space="preserve"> </w:t>
      </w:r>
      <w:r>
        <w:t xml:space="preserve">available</w:t>
      </w:r>
      <w:r>
        <w:t xml:space="preserve"> </w:t>
      </w:r>
      <w:r>
        <w:t xml:space="preserve">from</w:t>
      </w:r>
      <w:r>
        <w:t xml:space="preserve"> </w:t>
      </w:r>
      <w:hyperlink r:id="rId22">
        <w:r>
          <w:rPr>
            <w:rStyle w:val="Hyperlink"/>
          </w:rPr>
          <w:t xml:space="preserve">https://github.com/USEPA/nsink</w:t>
        </w:r>
      </w:hyperlink>
      <w:r>
        <w:t xml:space="preserve">.</w:t>
      </w:r>
      <w:r>
        <w:t xml:space="preserve"> </w:t>
      </w:r>
      <w:r>
        <w:t xml:space="preserve">Conclusions:</w:t>
      </w:r>
      <w:r>
        <w:t xml:space="preserve"> </w:t>
      </w:r>
      <w:r>
        <w:t xml:space="preserve">N-Sink</w:t>
      </w:r>
      <w:r>
        <w:t xml:space="preserve"> </w:t>
      </w:r>
      <w:r>
        <w:t xml:space="preserve">is</w:t>
      </w:r>
      <w:r>
        <w:t xml:space="preserve"> </w:t>
      </w:r>
      <w:r>
        <w:t xml:space="preserve">a</w:t>
      </w:r>
      <w:r>
        <w:t xml:space="preserve"> </w:t>
      </w:r>
      <w:r>
        <w:t xml:space="preserve">deccision</w:t>
      </w:r>
      <w:r>
        <w:t xml:space="preserve"> </w:t>
      </w:r>
      <w:r>
        <w:t xml:space="preserve">support</w:t>
      </w:r>
      <w:r>
        <w:t xml:space="preserve"> </w:t>
      </w:r>
      <w:r>
        <w:t xml:space="preserve">tool</w:t>
      </w:r>
      <w:r>
        <w:t xml:space="preserve"> </w:t>
      </w:r>
      <w:r>
        <w:t xml:space="preserve">and</w:t>
      </w:r>
      <w:r>
        <w:t xml:space="preserve"> </w:t>
      </w:r>
      <w:r>
        <w:t xml:space="preserve">created</w:t>
      </w:r>
      <w:r>
        <w:t xml:space="preserve"> </w:t>
      </w:r>
      <w:r>
        <w:t xml:space="preserve">for</w:t>
      </w:r>
      <w:r>
        <w:t xml:space="preserve"> </w:t>
      </w:r>
      <w:r>
        <w:t xml:space="preserve">local</w:t>
      </w:r>
      <w:r>
        <w:t xml:space="preserve"> </w:t>
      </w:r>
      <w:r>
        <w:t xml:space="preserve">decision-makers</w:t>
      </w:r>
      <w:r>
        <w:t xml:space="preserve"> </w:t>
      </w:r>
      <w:r>
        <w:t xml:space="preserve">to</w:t>
      </w:r>
      <w:r>
        <w:t xml:space="preserve"> </w:t>
      </w:r>
      <w:r>
        <w:t xml:space="preserve">facilitate</w:t>
      </w:r>
      <w:r>
        <w:t xml:space="preserve"> </w:t>
      </w:r>
      <w:r>
        <w:t xml:space="preserve">better</w:t>
      </w:r>
      <w:r>
        <w:t xml:space="preserve"> </w:t>
      </w:r>
      <w:r>
        <w:t xml:space="preserve">understanding</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land</w:t>
      </w:r>
      <w:r>
        <w:t xml:space="preserve"> </w:t>
      </w:r>
      <w:r>
        <w:t xml:space="preserve">use</w:t>
      </w:r>
      <w:r>
        <w:t xml:space="preserve"> </w:t>
      </w:r>
      <w:r>
        <w:t xml:space="preserve">and</w:t>
      </w:r>
      <w:r>
        <w:t xml:space="preserve"> </w:t>
      </w:r>
      <w:r>
        <w:t xml:space="preserve">downstream</w:t>
      </w:r>
      <w:r>
        <w:t xml:space="preserve"> </w:t>
      </w:r>
      <w:r>
        <w:t xml:space="preserve">N</w:t>
      </w:r>
      <w:r>
        <w:t xml:space="preserve"> </w:t>
      </w:r>
      <w:r>
        <w:t xml:space="preserve">delivery.</w:t>
      </w:r>
      <w:r>
        <w:t xml:space="preserve"> </w:t>
      </w:r>
      <w:r>
        <w:t xml:space="preserve">Local</w:t>
      </w:r>
      <w:r>
        <w:t xml:space="preserve"> </w:t>
      </w:r>
      <w:r>
        <w:t xml:space="preserve">decision-makers</w:t>
      </w:r>
      <w:r>
        <w:t xml:space="preserve"> </w:t>
      </w:r>
      <w:r>
        <w:t xml:space="preserve">that</w:t>
      </w:r>
      <w:r>
        <w:t xml:space="preserve"> </w:t>
      </w:r>
      <w:r>
        <w:t xml:space="preserve">have</w:t>
      </w:r>
      <w:r>
        <w:t xml:space="preserve"> </w:t>
      </w:r>
      <w:r>
        <w:t xml:space="preserve">prioritized</w:t>
      </w:r>
      <w:r>
        <w:t xml:space="preserve"> </w:t>
      </w:r>
      <w:r>
        <w:t xml:space="preserve">N</w:t>
      </w:r>
      <w:r>
        <w:t xml:space="preserve"> </w:t>
      </w:r>
      <w:r>
        <w:t xml:space="preserve">mitigation</w:t>
      </w:r>
      <w:r>
        <w:t xml:space="preserve"> </w:t>
      </w:r>
      <w:r>
        <w:t xml:space="preserve">in</w:t>
      </w:r>
      <w:r>
        <w:t xml:space="preserve"> </w:t>
      </w:r>
      <w:r>
        <w:t xml:space="preserve">their</w:t>
      </w:r>
      <w:r>
        <w:t xml:space="preserve"> </w:t>
      </w:r>
      <w:r>
        <w:t xml:space="preserve">long-term</w:t>
      </w:r>
      <w:r>
        <w:t xml:space="preserve"> </w:t>
      </w:r>
      <w:r>
        <w:t xml:space="preserve">planning</w:t>
      </w:r>
      <w:r>
        <w:t xml:space="preserve"> </w:t>
      </w:r>
      <w:r>
        <w:t xml:space="preserve">can</w:t>
      </w:r>
      <w:r>
        <w:t xml:space="preserve"> </w:t>
      </w:r>
      <w:r>
        <w:t xml:space="preserve">use</w:t>
      </w:r>
      <w:r>
        <w:t xml:space="preserve"> </w:t>
      </w:r>
      <w:r>
        <w:rPr>
          <w:iCs/>
          <w:i/>
        </w:rPr>
        <w:t xml:space="preserve">nsink</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potential</w:t>
      </w:r>
      <w:r>
        <w:t xml:space="preserve"> </w:t>
      </w:r>
      <w:r>
        <w:t xml:space="preserve">impact</w:t>
      </w:r>
      <w:r>
        <w:t xml:space="preserve"> </w:t>
      </w:r>
      <w:r>
        <w:t xml:space="preserve">of</w:t>
      </w:r>
      <w:r>
        <w:t xml:space="preserve"> </w:t>
      </w:r>
      <w:r>
        <w:t xml:space="preserve">proposed</w:t>
      </w:r>
      <w:r>
        <w:t xml:space="preserve"> </w:t>
      </w:r>
      <w:r>
        <w:t xml:space="preserve">development</w:t>
      </w:r>
      <w:r>
        <w:t xml:space="preserve"> </w:t>
      </w:r>
      <w:r>
        <w:t xml:space="preserve">projects</w:t>
      </w:r>
      <w:r>
        <w:t xml:space="preserve"> </w:t>
      </w:r>
      <w:r>
        <w:t xml:space="preserve">and</w:t>
      </w:r>
      <w:r>
        <w:t xml:space="preserve"> </w:t>
      </w:r>
      <w:r>
        <w:t xml:space="preserve">zoning</w:t>
      </w:r>
      <w:r>
        <w:t xml:space="preserve"> </w:t>
      </w:r>
      <w:r>
        <w:t xml:space="preserve">variances.</w:t>
      </w:r>
      <w:r>
        <w:t xml:space="preserve"> </w:t>
      </w:r>
      <w:r>
        <w:t xml:space="preserve">Similarly,</w:t>
      </w:r>
      <w:r>
        <w:t xml:space="preserve"> </w:t>
      </w:r>
      <w:r>
        <w:t xml:space="preserve">land</w:t>
      </w:r>
      <w:r>
        <w:t xml:space="preserve"> </w:t>
      </w:r>
      <w:r>
        <w:t xml:space="preserve">trusts</w:t>
      </w:r>
      <w:r>
        <w:t xml:space="preserve"> </w:t>
      </w:r>
      <w:r>
        <w:t xml:space="preserve">and</w:t>
      </w:r>
      <w:r>
        <w:t xml:space="preserve"> </w:t>
      </w:r>
      <w:r>
        <w:t xml:space="preserve">other</w:t>
      </w:r>
      <w:r>
        <w:t xml:space="preserve"> </w:t>
      </w:r>
      <w:r>
        <w:t xml:space="preserve">NGOs</w:t>
      </w:r>
      <w:r>
        <w:t xml:space="preserve"> </w:t>
      </w:r>
      <w:r>
        <w:t xml:space="preserve">interested</w:t>
      </w:r>
      <w:r>
        <w:t xml:space="preserve"> </w:t>
      </w:r>
      <w:r>
        <w:t xml:space="preserve">in</w:t>
      </w:r>
      <w:r>
        <w:t xml:space="preserve"> </w:t>
      </w:r>
      <w:r>
        <w:t xml:space="preserve">N</w:t>
      </w:r>
      <w:r>
        <w:t xml:space="preserve"> </w:t>
      </w:r>
      <w:r>
        <w:t xml:space="preserve">mitigation</w:t>
      </w:r>
      <w:r>
        <w:t xml:space="preserve"> </w:t>
      </w:r>
      <w:r>
        <w:t xml:space="preserve">can</w:t>
      </w:r>
      <w:r>
        <w:t xml:space="preserve"> </w:t>
      </w:r>
      <w:r>
        <w:t xml:space="preserve">use</w:t>
      </w:r>
      <w:r>
        <w:t xml:space="preserve"> </w:t>
      </w:r>
      <w:r>
        <w:rPr>
          <w:iCs/>
          <w:i/>
        </w:rPr>
        <w:t xml:space="preserve">nsink</w:t>
      </w:r>
      <w:r>
        <w:t xml:space="preserve"> </w:t>
      </w:r>
      <w:r>
        <w:t xml:space="preserve">to</w:t>
      </w:r>
      <w:r>
        <w:t xml:space="preserve"> </w:t>
      </w:r>
      <w:r>
        <w:t xml:space="preserve">identify</w:t>
      </w:r>
      <w:r>
        <w:t xml:space="preserve"> </w:t>
      </w:r>
      <w:r>
        <w:t xml:space="preserve">high</w:t>
      </w:r>
      <w:r>
        <w:t xml:space="preserve"> </w:t>
      </w:r>
      <w:r>
        <w:t xml:space="preserve">priority</w:t>
      </w:r>
      <w:r>
        <w:t xml:space="preserve"> </w:t>
      </w:r>
      <w:r>
        <w:t xml:space="preserve">areas</w:t>
      </w:r>
      <w:r>
        <w:t xml:space="preserve"> </w:t>
      </w:r>
      <w:r>
        <w:t xml:space="preserve">for</w:t>
      </w:r>
      <w:r>
        <w:t xml:space="preserve"> </w:t>
      </w:r>
      <w:r>
        <w:t xml:space="preserve">acquisition</w:t>
      </w:r>
      <w:r>
        <w:t xml:space="preserve"> </w:t>
      </w:r>
      <w:r>
        <w:t xml:space="preserve">or</w:t>
      </w:r>
      <w:r>
        <w:t xml:space="preserve"> </w:t>
      </w:r>
      <w:r>
        <w:t xml:space="preserve">restoration.</w:t>
      </w:r>
    </w:p>
    <w:bookmarkStart w:id="26"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could provide watershed managers, land use planners and conservation organizations additional strategies that target N reductions. N-Sink, and its associated R package</w:t>
      </w:r>
      <w:r>
        <w:t xml:space="preserve"> </w:t>
      </w:r>
      <w:r>
        <w:rPr>
          <w:rStyle w:val="VerbatimChar"/>
        </w:rPr>
        <w:t xml:space="preserve">nsink</w:t>
      </w:r>
      <w:r>
        <w:t xml:space="preserve">, were developed to be a screening tool that describes the areas or points within a watershed linked with flow paths where downgradient N sinks process and remove excess N, versus areas where downgradient N sinks are less prevalent or less effective at removing N</w:t>
      </w:r>
      <w:r>
        <w:t xml:space="preserve"> </w:t>
      </w:r>
      <w:r>
        <w:t xml:space="preserve">(Hollister et al. 2022, R Core Team 2022a)</w:t>
      </w:r>
      <w:r>
        <w:t xml:space="preserve">. This watershed flow path approach provides a means to easily visualize the relative sensitivity of an area within a watershed that may require more aggressive N management at the source, protection of existing N retentive areas, or restoration and construction of downgradient N retentive areas that are needed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The approach relies on residence time within landscape features that support N removal as the primary driver of N retention and transformation</w:t>
      </w:r>
      <w:r>
        <w:t xml:space="preserve"> </w:t>
      </w:r>
      <w:r>
        <w:t xml:space="preserve">(e.g., Klocker et al. 2009)</w:t>
      </w:r>
      <w:r>
        <w:t xml:space="preserve">.</w:t>
      </w:r>
    </w:p>
    <w:p>
      <w:pPr>
        <w:pStyle w:val="BodyText"/>
      </w:pPr>
      <w:r>
        <w:t xml:space="preserve">The</w:t>
      </w:r>
      <w:r>
        <w:t xml:space="preserve"> </w:t>
      </w:r>
      <w:r>
        <w:rPr>
          <w:iCs/>
          <w:i/>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include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illustrate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3) N Delivery Index, combining maps (1) and (2) along with source loading based on NLCD categories and expressed as an index ranging from 0 to 1, resulting in a map showing potential N delivery from different sources, after accounting for the potential N removal as water moves downstream. N-Sink and</w:t>
      </w:r>
      <w:r>
        <w:t xml:space="preserve"> </w:t>
      </w:r>
      <w:r>
        <w:rPr>
          <w:rStyle w:val="VerbatimChar"/>
        </w:rPr>
        <w:t xml:space="preserve">nsink</w:t>
      </w:r>
      <w:r>
        <w:t xml:space="preserve"> </w:t>
      </w:r>
      <w:r>
        <w:t xml:space="preserve">integrate these data to make the application of complex hydrologic and biogeochemical processes accessible to end users and stakeholders in a visually clear and useful format. Here we describe the development of the package, and example workflow, and simple use applications to demonstrate the capabilities of the tools. The code for this analysis is available from</w:t>
      </w:r>
      <w:r>
        <w:t xml:space="preserve"> </w:t>
      </w:r>
      <w:hyperlink r:id="rId23">
        <w:r>
          <w:rPr>
            <w:rStyle w:val="Hyperlink"/>
          </w:rPr>
          <w:t xml:space="preserve">https://github.com/USEPA/nsink_manuscript/</w:t>
        </w:r>
      </w:hyperlink>
      <w:r>
        <w:t xml:space="preserve"> </w:t>
      </w:r>
      <w:r>
        <w:t xml:space="preserve">and is archived at</w:t>
      </w:r>
      <w:r>
        <w:t xml:space="preserve"> </w:t>
      </w:r>
      <w:hyperlink r:id="rId24">
        <w:r>
          <w:rPr>
            <w:rStyle w:val="Hyperlink"/>
          </w:rPr>
          <w:t xml:space="preserve">https://doi.org/10.5281/zenodo.8325360</w:t>
        </w:r>
      </w:hyperlink>
      <w:r>
        <w:t xml:space="preserve">. All analyses were conducted with R version 4.2.2 and details on R package versions and operating system used for this analysis are included in a file,</w:t>
      </w:r>
      <w:r>
        <w:t xml:space="preserve"> </w:t>
      </w:r>
      <w:r>
        <w:rPr>
          <w:rStyle w:val="VerbatimChar"/>
        </w:rPr>
        <w:t xml:space="preserve">sessioninfo.txt</w:t>
      </w:r>
      <w:r>
        <w:t xml:space="preserve"> </w:t>
      </w:r>
      <w:r>
        <w:t xml:space="preserve">at</w:t>
      </w:r>
      <w:r>
        <w:t xml:space="preserve"> </w:t>
      </w:r>
      <w:hyperlink r:id="rId25">
        <w:r>
          <w:rPr>
            <w:rStyle w:val="Hyperlink"/>
          </w:rPr>
          <w:t xml:space="preserve">https://github.com/USEPA/ri_wq_trends/blob/master/sessioninfo.txt</w:t>
        </w:r>
      </w:hyperlink>
      <w:r>
        <w:t xml:space="preserve"> </w:t>
      </w:r>
      <w:r>
        <w:t xml:space="preserve">(Grolemund and Wickham 2011, Xie 2014, 2015, 2023, Pebesma et al. 2016, 2016, Wickham 2016, Pebesma 2018, Müller 2020, Hollister et al. 2022, R Core Team 2022b, Bocinsky 2023, Hernangómez 2023, Hijmans 2023a, 2023b, Pebesma and Bivand 2023)</w:t>
      </w:r>
      <w:r>
        <w:t xml:space="preserve">.</w:t>
      </w:r>
    </w:p>
    <w:bookmarkEnd w:id="26"/>
    <w:bookmarkStart w:id="48" w:name="methods"/>
    <w:p>
      <w:pPr>
        <w:pStyle w:val="Heading1"/>
      </w:pPr>
      <w:r>
        <w:t xml:space="preserve">Methods</w:t>
      </w:r>
    </w:p>
    <w:bookmarkStart w:id="28" w:name="implementation-in-r"/>
    <w:p>
      <w:pPr>
        <w:pStyle w:val="Heading2"/>
      </w:pPr>
      <w:r>
        <w:rPr>
          <w:iCs/>
          <w:i/>
        </w:rPr>
        <w:t xml:space="preserve">Implementation in R</w:t>
      </w:r>
    </w:p>
    <w:p>
      <w:pPr>
        <w:pStyle w:val="FirstParagraph"/>
      </w:pPr>
      <w:r>
        <w:t xml:space="preserve">The package</w:t>
      </w:r>
      <w:r>
        <w:t xml:space="preserve"> </w:t>
      </w:r>
      <w:r>
        <w:rPr>
          <w:iCs/>
          <w:i/>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iCs/>
          <w:i/>
        </w:rPr>
        <w:t xml:space="preserve">nsink</w:t>
      </w:r>
      <w:r>
        <w:t xml:space="preserve"> </w:t>
      </w:r>
      <w:r>
        <w:t xml:space="preserve">package follows from an initial version of N-Sink written in ArcGIS using ModelBuilder. The initial version required time-consuming data manipulation by hand due to limitations of earlier NHDPlus datasets as well as the limitations of working in a GIS environment requiring a user license. With the increasingly more versatile GIS packages now available in R Project for Statistical Computing (RRID:SCR_001905), the previously time-consuming spatial data acquisition and management of N-Sink was automated and applied to other HUC-12 catchments, leading to the development of the</w:t>
      </w:r>
      <w:r>
        <w:t xml:space="preserve"> </w:t>
      </w:r>
      <w:r>
        <w:rPr>
          <w:iCs/>
          <w:i/>
        </w:rPr>
        <w:t xml:space="preserve">nsink</w:t>
      </w:r>
      <w:r>
        <w:t xml:space="preserve"> </w:t>
      </w:r>
      <w:r>
        <w:t xml:space="preserve">package. Specifically,</w:t>
      </w:r>
      <w:r>
        <w:t xml:space="preserve"> </w:t>
      </w:r>
      <w:r>
        <w:rPr>
          <w:iCs/>
          <w:i/>
        </w:rPr>
        <w:t xml:space="preserve">nsink</w:t>
      </w:r>
      <w:r>
        <w:t xml:space="preserve"> </w:t>
      </w:r>
      <w:r>
        <w:t xml:space="preserve">relies on packages</w:t>
      </w:r>
      <w:r>
        <w:t xml:space="preserve"> </w:t>
      </w:r>
      <w:r>
        <w:rPr>
          <w:iCs/>
          <w:i/>
        </w:rPr>
        <w:t xml:space="preserve">sf</w:t>
      </w:r>
      <w:r>
        <w:t xml:space="preserve"> </w:t>
      </w:r>
      <w:r>
        <w:t xml:space="preserve">and</w:t>
      </w:r>
      <w:r>
        <w:t xml:space="preserve"> </w:t>
      </w:r>
      <w:r>
        <w:rPr>
          <w:iCs/>
          <w:i/>
        </w:rPr>
        <w:t xml:space="preserve">terra</w:t>
      </w:r>
      <w:r>
        <w:t xml:space="preserve">. The</w:t>
      </w:r>
      <w:r>
        <w:t xml:space="preserve"> </w:t>
      </w:r>
      <w:r>
        <w:rPr>
          <w:rStyle w:val="VerbatimChar"/>
        </w:rPr>
        <w:t xml:space="preserve">nsink</w:t>
      </w:r>
      <w:r>
        <w:t xml:space="preserve"> </w:t>
      </w:r>
      <w:r>
        <w:t xml:space="preserve">package is available from</w:t>
      </w:r>
      <w:r>
        <w:t xml:space="preserve"> </w:t>
      </w:r>
      <w:hyperlink r:id="rId27">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8"/>
    <w:bookmarkStart w:id="29" w:name="using-nsink"/>
    <w:p>
      <w:pPr>
        <w:pStyle w:val="Heading2"/>
      </w:pPr>
      <w:r>
        <w:t xml:space="preserve">Using</w:t>
      </w:r>
      <w:r>
        <w:t xml:space="preserve"> </w:t>
      </w:r>
      <w:r>
        <w:rPr>
          <w:iCs/>
          <w:i/>
        </w:rPr>
        <w:t xml:space="preserve">nsink</w:t>
      </w:r>
    </w:p>
    <w:p>
      <w:pPr>
        <w:pStyle w:val="FirstParagraph"/>
      </w:pPr>
      <w:r>
        <w:t xml:space="preserve">The</w:t>
      </w:r>
      <w:r>
        <w:t xml:space="preserve"> </w:t>
      </w:r>
      <w:r>
        <w:rPr>
          <w:iCs/>
          <w:i/>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Index, and N Delivery Index.</w:t>
      </w:r>
    </w:p>
    <w:p>
      <w:pPr>
        <w:pStyle w:val="TableCaption"/>
      </w:pPr>
      <w:r>
        <w:t xml:space="preserve">Table 1: Functions in the R package,</w:t>
      </w:r>
      <w:r>
        <w:t xml:space="preserve"> </w:t>
      </w:r>
      <w:r>
        <w:rPr>
          <w:iCs/>
          <w:i/>
        </w:rPr>
        <w:t xml:space="preserve">nsink</w:t>
      </w:r>
      <w:r>
        <w:t xml:space="preserve">, with short descriptions.</w:t>
      </w:r>
    </w:p>
    <w:tbl>
      <w:tblPr>
        <w:tblStyle w:val="Table"/>
        <w:tblW w:type="pct" w:w="5000"/>
        <w:tblLook w:firstRow="1" w:lastRow="0" w:firstColumn="0" w:lastColumn="0" w:noHBand="0" w:noVBand="0" w:val="0020"/>
        <w:jc w:val="start"/>
        <w:tblCaption w:val="Table 1: Functions in the R package, nsink, with short descriptions."/>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9"/>
    <w:bookmarkStart w:id="30" w:name="download-the-data"/>
    <w:p>
      <w:pPr>
        <w:pStyle w:val="Heading2"/>
      </w:pPr>
      <w:r>
        <w:t xml:space="preserve">Download the data</w:t>
      </w:r>
    </w:p>
    <w:p>
      <w:pPr>
        <w:pStyle w:val="FirstParagraph"/>
      </w:pPr>
      <w:r>
        <w:t xml:space="preserve">The first step for an N-Sink analysis with the</w:t>
      </w:r>
      <w:r>
        <w:t xml:space="preserve"> </w:t>
      </w:r>
      <w:r>
        <w:rPr>
          <w:iCs/>
          <w:i/>
        </w:rPr>
        <w:t xml:space="preserve">nsink</w:t>
      </w:r>
      <w:r>
        <w:t xml:space="preserve"> </w:t>
      </w:r>
      <w:r>
        <w:t xml:space="preserve">package is to download the required datasets. The only required information to download the data is a HUC identifier. The</w:t>
      </w:r>
      <w:r>
        <w:t xml:space="preserve"> </w:t>
      </w:r>
      <w:r>
        <w:rPr>
          <w:iCs/>
          <w:i/>
        </w:rPr>
        <w:t xml:space="preserve">nsink</w:t>
      </w:r>
      <w:r>
        <w:t xml:space="preserve"> </w:t>
      </w:r>
      <w:r>
        <w:t xml:space="preserve">package was developed using 12-digit HUC IDs from NHDPlus, but larger HUCs (e.g. 8-digit) may also be used. There are two functions provided for downloading the data.</w:t>
      </w:r>
    </w:p>
    <w:p>
      <w:pPr>
        <w:numPr>
          <w:ilvl w:val="0"/>
          <w:numId w:val="1001"/>
        </w:numPr>
      </w:pPr>
      <w:r>
        <w:rPr>
          <w:rStyle w:val="VerbatimChar"/>
        </w:rPr>
        <w:t xml:space="preserve">nsink_get_huc_id()</w:t>
      </w:r>
      <w:r>
        <w:t xml:space="preserve"> </w:t>
      </w:r>
      <w:r>
        <w:t xml:space="preserve">- search 12-digit HUC IDs using a known location name.</w:t>
      </w:r>
    </w:p>
    <w:p>
      <w:pPr>
        <w:numPr>
          <w:ilvl w:val="0"/>
          <w:numId w:val="1001"/>
        </w:numPr>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iCs/>
          <w:i/>
        </w:rPr>
        <w:t xml:space="preserve">nsink</w:t>
      </w:r>
      <w:r>
        <w:t xml:space="preserve"> </w:t>
      </w:r>
      <w:r>
        <w:t xml:space="preserve">package utilizes widely available data from several U.S. Federal Government sources and as of 2024-03-05 no authentication is required to access these sources. The HUC ID is required and users may specify a path for storing the data as well as indicate whether or not to download the data again if they already exist in the data directory.</w:t>
      </w:r>
    </w:p>
    <w:bookmarkEnd w:id="30"/>
    <w:bookmarkStart w:id="31"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2"/>
        </w:numPr>
        <w:pStyle w:val="Compact"/>
      </w:pPr>
      <w:r>
        <w:t xml:space="preserve">filter out the HUC boundary</w:t>
      </w:r>
    </w:p>
    <w:p>
      <w:pPr>
        <w:numPr>
          <w:ilvl w:val="0"/>
          <w:numId w:val="1002"/>
        </w:numPr>
        <w:pStyle w:val="Compact"/>
      </w:pPr>
      <w:r>
        <w:t xml:space="preserve">mask all other data sets to the HUC boundary</w:t>
      </w:r>
    </w:p>
    <w:p>
      <w:pPr>
        <w:numPr>
          <w:ilvl w:val="0"/>
          <w:numId w:val="1002"/>
        </w:numPr>
        <w:pStyle w:val="Compact"/>
      </w:pPr>
      <w:r>
        <w:t xml:space="preserve">convert all column names to lower case</w:t>
      </w:r>
    </w:p>
    <w:p>
      <w:pPr>
        <w:numPr>
          <w:ilvl w:val="0"/>
          <w:numId w:val="1002"/>
        </w:numPr>
        <w:pStyle w:val="Compact"/>
      </w:pPr>
      <w:r>
        <w:t xml:space="preserve">create new columns</w:t>
      </w:r>
    </w:p>
    <w:p>
      <w:pPr>
        <w:numPr>
          <w:ilvl w:val="0"/>
          <w:numId w:val="1002"/>
        </w:numPr>
        <w:pStyle w:val="Compact"/>
      </w:pPr>
      <w:r>
        <w:t xml:space="preserve">harmonize raster extents</w:t>
      </w:r>
    </w:p>
    <w:p>
      <w:pPr>
        <w:numPr>
          <w:ilvl w:val="0"/>
          <w:numId w:val="1002"/>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31"/>
    <w:bookmarkStart w:id="32"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3"/>
        </w:numPr>
        <w:pStyle w:val="Compact"/>
      </w:pPr>
      <w:r>
        <w:t xml:space="preserve">raster_method: Contains a raster-based approach to calculating removal. Used for the static maps showing potential N removal within landscape sinks.</w:t>
      </w:r>
    </w:p>
    <w:p>
      <w:pPr>
        <w:numPr>
          <w:ilvl w:val="0"/>
          <w:numId w:val="1003"/>
        </w:numPr>
        <w:pStyle w:val="Compact"/>
      </w:pPr>
      <w:r>
        <w:t xml:space="preserve">land_removal: Represents land-based nitrogen removal within vegetated hydric soils with impervious surface removed.</w:t>
      </w:r>
    </w:p>
    <w:p>
      <w:pPr>
        <w:numPr>
          <w:ilvl w:val="0"/>
          <w:numId w:val="1003"/>
        </w:numPr>
        <w:pStyle w:val="Compact"/>
      </w:pPr>
      <w:r>
        <w:t xml:space="preserve">network_removal: Contains removal along the NHD Plus flow network. Removal is calculated separately for streams and waterbodies (i.e., lakes and reservoirs).</w:t>
      </w:r>
    </w:p>
    <w:bookmarkEnd w:id="32"/>
    <w:bookmarkStart w:id="33"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(Fig. 4), as generated by the R package,</w:t>
      </w:r>
      <w:r>
        <w:t xml:space="preserve"> </w:t>
      </w:r>
      <w:r>
        <w:rPr>
          <w:iCs/>
          <w:i/>
        </w:rPr>
        <w:t xml:space="preserve">nsink</w:t>
      </w:r>
      <w:r>
        <w:t xml:space="preserve">.</w:t>
      </w:r>
    </w:p>
    <w:tbl>
      <w:tblPr>
        <w:tblStyle w:val="Table"/>
        <w:tblW w:type="auto" w:w="0"/>
        <w:tblLook w:firstRow="1" w:lastRow="0" w:firstColumn="0" w:lastColumn="0" w:noHBand="0" w:noVBand="0" w:val="0020"/>
        <w:jc w:val="start"/>
        <w:tblCaption w:val="Table 2: Summary of N removal along specified flowpath A (Fig. 4), as generated by the R package, nsink."/>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47.400</w:t>
            </w:r>
          </w:p>
        </w:tc>
        <w:tc>
          <w:tcPr/>
          <w:p>
            <w:pPr>
              <w:pStyle w:val="Compact"/>
              <w:jc w:val="right"/>
            </w:pPr>
            <w:r>
              <w:t xml:space="preserve">100.0</w:t>
            </w:r>
          </w:p>
        </w:tc>
        <w:tc>
          <w:tcPr/>
          <w:p>
            <w:pPr>
              <w:pStyle w:val="Compact"/>
              <w:jc w:val="right"/>
            </w:pPr>
            <w:r>
              <w:t xml:space="preserve">52.6</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52.6</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52.5</w:t>
            </w:r>
          </w:p>
        </w:tc>
        <w:tc>
          <w:tcPr/>
          <w:p>
            <w:pPr>
              <w:pStyle w:val="Compact"/>
              <w:jc w:val="right"/>
            </w:pPr>
            <w:r>
              <w:t xml:space="preserve">52.5</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52.5</w:t>
            </w:r>
          </w:p>
        </w:tc>
        <w:tc>
          <w:tcPr/>
          <w:p>
            <w:pPr>
              <w:pStyle w:val="Compact"/>
              <w:jc w:val="right"/>
            </w:pPr>
            <w:r>
              <w:t xml:space="preserve">52.5</w:t>
            </w:r>
          </w:p>
        </w:tc>
      </w:tr>
    </w:tbl>
    <w:bookmarkEnd w:id="33"/>
    <w:bookmarkStart w:id="43"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4"/>
        </w:numPr>
        <w:pStyle w:val="Compact"/>
      </w:pPr>
      <w:r>
        <w:rPr>
          <w:rStyle w:val="VerbatimChar"/>
        </w:rPr>
        <w:t xml:space="preserve">removal_effic</w:t>
      </w:r>
      <w:r>
        <w:t xml:space="preserve">: HUC-wide estimate of potential nitrogen removal from different landscape sinks as a percentage.</w:t>
      </w:r>
    </w:p>
    <w:p>
      <w:pPr>
        <w:numPr>
          <w:ilvl w:val="0"/>
          <w:numId w:val="1004"/>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4"/>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4"/>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 the convenience function</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 For example,</w:t>
      </w:r>
      <w:r>
        <w:t xml:space="preserve"> </w:t>
      </w:r>
      <w:r>
        <w:rPr>
          <w:rStyle w:val="VerbatimChar"/>
        </w:rPr>
        <w:t xml:space="preserve">nsink_plot(niantic_static_maps, map = "removal")</w:t>
      </w:r>
      <w:r>
        <w:t xml:space="preserve"> </w:t>
      </w:r>
      <w:r>
        <w:t xml:space="preserve">will create a plot of Nitrogen Removal Efficiency (Figure 1). The other</w:t>
      </w:r>
      <w:r>
        <w:t xml:space="preserve"> </w:t>
      </w:r>
      <w:r>
        <w:rPr>
          <w:rStyle w:val="VerbatimChar"/>
        </w:rPr>
        <w:t xml:space="preserve">map</w:t>
      </w:r>
      <w:r>
        <w:t xml:space="preserve"> </w:t>
      </w:r>
      <w:r>
        <w:t xml:space="preserve">argument options are</w:t>
      </w:r>
      <w:r>
        <w:t xml:space="preserve"> </w:t>
      </w:r>
      <w:r>
        <w:t xml:space="preserve">“</w:t>
      </w:r>
      <w:r>
        <w:t xml:space="preserve">transport</w:t>
      </w:r>
      <w:r>
        <w:t xml:space="preserve">”</w:t>
      </w:r>
      <w:r>
        <w:t xml:space="preserve"> </w:t>
      </w:r>
      <w:r>
        <w:t xml:space="preserve">and</w:t>
      </w:r>
      <w:r>
        <w:t xml:space="preserve"> </w:t>
      </w:r>
      <w:r>
        <w:t xml:space="preserve">“</w:t>
      </w:r>
      <w:r>
        <w:t xml:space="preserve">delivery</w:t>
      </w:r>
      <w:r>
        <w:t xml:space="preserve">”</w:t>
      </w:r>
      <w:r>
        <w:t xml:space="preserve"> </w:t>
      </w:r>
      <w:r>
        <w:t xml:space="preserve">(Figures 2-3). These plots are designed for exploration and not necessarily for high quality maps. For higher quality maps, the source data can be plotted in software of a user’s choice (e.g. QGIS,</w:t>
      </w:r>
      <w:r>
        <w:t xml:space="preserve"> </w:t>
      </w:r>
      <w:r>
        <w:rPr>
          <w:rStyle w:val="VerbatimChar"/>
        </w:rPr>
        <w:t xml:space="preserve">ggplot2</w:t>
      </w:r>
      <w:r>
        <w:t xml:space="preserve">).</w:t>
      </w:r>
    </w:p>
    <w:p>
      <w:pPr>
        <w:pStyle w:val="BodyText"/>
      </w:pPr>
      <w:r>
        <w:drawing>
          <wp:inline>
            <wp:extent cx="5504749" cy="4403799"/>
            <wp:effectExtent b="0" l="0" r="0" t="0"/>
            <wp:docPr descr="Figure 1: Nitrogen Removal Efficiency (range 0 to 1) for the Niantic River HUC-12, showing the estimated fraction of N removed within three types of landscape N sinks - wetlands, streams, lakes/ponds/reservoirs." title="" id="35" name="Picture"/>
            <a:graphic>
              <a:graphicData uri="http://schemas.openxmlformats.org/drawingml/2006/picture">
                <pic:pic>
                  <pic:nvPicPr>
                    <pic:cNvPr descr="manuscript_files/figure-docx/plot1-1.png" id="36" name="Picture"/>
                    <pic:cNvPicPr>
                      <a:picLocks noChangeArrowheads="1" noChangeAspect="1"/>
                    </pic:cNvPicPr>
                  </pic:nvPicPr>
                  <pic:blipFill>
                    <a:blip r:embed="rId34"/>
                    <a:stretch>
                      <a:fillRect/>
                    </a:stretch>
                  </pic:blipFill>
                  <pic:spPr bwMode="auto">
                    <a:xfrm>
                      <a:off x="0" y="0"/>
                      <a:ext cx="5504749" cy="4403799"/>
                    </a:xfrm>
                    <a:prstGeom prst="rect">
                      <a:avLst/>
                    </a:prstGeom>
                    <a:noFill/>
                    <a:ln w="9525">
                      <a:noFill/>
                      <a:headEnd/>
                      <a:tailEnd/>
                    </a:ln>
                  </pic:spPr>
                </pic:pic>
              </a:graphicData>
            </a:graphic>
          </wp:inline>
        </w:drawing>
      </w:r>
      <w:r>
        <w:t xml:space="preserve"> </w:t>
      </w:r>
      <w:r>
        <w:drawing>
          <wp:inline>
            <wp:extent cx="5504749" cy="4403799"/>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8" name="Picture"/>
            <a:graphic>
              <a:graphicData uri="http://schemas.openxmlformats.org/drawingml/2006/picture">
                <pic:pic>
                  <pic:nvPicPr>
                    <pic:cNvPr descr="manuscript_files/figure-docx/plot2-1.png" id="39" name="Picture"/>
                    <pic:cNvPicPr>
                      <a:picLocks noChangeArrowheads="1" noChangeAspect="1"/>
                    </pic:cNvPicPr>
                  </pic:nvPicPr>
                  <pic:blipFill>
                    <a:blip r:embed="rId37"/>
                    <a:stretch>
                      <a:fillRect/>
                    </a:stretch>
                  </pic:blipFill>
                  <pic:spPr bwMode="auto">
                    <a:xfrm>
                      <a:off x="0" y="0"/>
                      <a:ext cx="5504749" cy="4403799"/>
                    </a:xfrm>
                    <a:prstGeom prst="rect">
                      <a:avLst/>
                    </a:prstGeom>
                    <a:noFill/>
                    <a:ln w="9525">
                      <a:noFill/>
                      <a:headEnd/>
                      <a:tailEnd/>
                    </a:ln>
                  </pic:spPr>
                </pic:pic>
              </a:graphicData>
            </a:graphic>
          </wp:inline>
        </w:drawing>
      </w:r>
      <w:r>
        <w:t xml:space="preserve"> </w:t>
      </w:r>
      <w:r>
        <w:drawing>
          <wp:inline>
            <wp:extent cx="5504749" cy="4403799"/>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 Delivery Index." title="" id="41" name="Picture"/>
            <a:graphic>
              <a:graphicData uri="http://schemas.openxmlformats.org/drawingml/2006/picture">
                <pic:pic>
                  <pic:nvPicPr>
                    <pic:cNvPr descr="manuscript_files/figure-docx/plot3-1.png" id="42" name="Picture"/>
                    <pic:cNvPicPr>
                      <a:picLocks noChangeArrowheads="1" noChangeAspect="1"/>
                    </pic:cNvPicPr>
                  </pic:nvPicPr>
                  <pic:blipFill>
                    <a:blip r:embed="rId40"/>
                    <a:stretch>
                      <a:fillRect/>
                    </a:stretch>
                  </pic:blipFill>
                  <pic:spPr bwMode="auto">
                    <a:xfrm>
                      <a:off x="0" y="0"/>
                      <a:ext cx="5504749" cy="4403799"/>
                    </a:xfrm>
                    <a:prstGeom prst="rect">
                      <a:avLst/>
                    </a:prstGeom>
                    <a:noFill/>
                    <a:ln w="9525">
                      <a:noFill/>
                      <a:headEnd/>
                      <a:tailEnd/>
                    </a:ln>
                  </pic:spPr>
                </pic:pic>
              </a:graphicData>
            </a:graphic>
          </wp:inline>
        </w:drawing>
      </w:r>
    </w:p>
    <w:bookmarkEnd w:id="43"/>
    <w:bookmarkStart w:id="44"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iCs/>
          <w:i/>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21">
        <w:r>
          <w:rPr>
            <w:rStyle w:val="Hyperlink"/>
          </w:rPr>
          <w:t xml:space="preserve">interactive tool</w:t>
        </w:r>
      </w:hyperlink>
      <w:r>
        <w:t xml:space="preserve">. This app can be used to examine and better understand N movement through these HUC-12 catchments.</w:t>
      </w:r>
    </w:p>
    <w:bookmarkEnd w:id="44"/>
    <w:bookmarkStart w:id="45"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5"/>
    <w:bookmarkStart w:id="46"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is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6"/>
    <w:bookmarkStart w:id="47"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are present, flow can bypass the removal processes within wetland ecosystems</w:t>
      </w:r>
      <w:r>
        <w:t xml:space="preserve"> </w:t>
      </w:r>
      <w:r>
        <w:t xml:space="preserve">(Gold et al. 2001)</w:t>
      </w:r>
      <w:r>
        <w:t xml:space="preserve">. In these situations, first-order streams may be channelized, leading to higher velocities than in undisturbed channels and the N-Sink estimates of removal may be overstated. N-Sink does not account for nitrogen removal from high permeability (e.g., sand and gravel) unconfined aquifers along the coastal margin. Here, nitrogen-enriched groundwater may enter estuaries directly as submarine discharge rather than via baseflow to stream networks</w:t>
      </w:r>
      <w:r>
        <w:t xml:space="preserve"> </w:t>
      </w:r>
      <w:r>
        <w:t xml:space="preserve">(Nowicki and Gold 2008)</w:t>
      </w:r>
      <w:r>
        <w:t xml:space="preserve">, requiring site specific assessments to evaluate N removal in salt marshes or as upwelling into the seabed</w:t>
      </w:r>
      <w:r>
        <w:t xml:space="preserve"> </w:t>
      </w:r>
      <w:r>
        <w:t xml:space="preserve">(Addy et al. 2005, Robinson et al. 2018)</w:t>
      </w:r>
      <w:r>
        <w:t xml:space="preserve">. These situations have been estimated to account for approximately 6% of freshwater inputs to estuaries globally and in areas of New England</w:t>
      </w:r>
      <w:r>
        <w:t xml:space="preserve"> </w:t>
      </w:r>
      <w:r>
        <w:t xml:space="preserve">(Burnett et al. 2003, Nowicki and Gold 2008)</w:t>
      </w:r>
      <w:r>
        <w:t xml:space="preserve">.</w:t>
      </w:r>
    </w:p>
    <w:p>
      <w:pPr>
        <w:pStyle w:val="BodyText"/>
      </w:pPr>
      <w:r>
        <w:t xml:space="preserve">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bookmarkEnd w:id="47"/>
    <w:bookmarkEnd w:id="48"/>
    <w:bookmarkStart w:id="49" w:name="operation"/>
    <w:p>
      <w:pPr>
        <w:pStyle w:val="Heading1"/>
      </w:pPr>
      <w:r>
        <w:t xml:space="preserve">Operation</w:t>
      </w:r>
    </w:p>
    <w:p>
      <w:pPr>
        <w:pStyle w:val="FirstParagraph"/>
      </w:pPr>
      <w:r>
        <w:t xml:space="preserve">The R package</w:t>
      </w:r>
      <w:r>
        <w:t xml:space="preserve"> </w:t>
      </w:r>
      <w:r>
        <w:rPr>
          <w:iCs/>
          <w:i/>
        </w:rPr>
        <w:t xml:space="preserve">nsink</w:t>
      </w:r>
      <w:r>
        <w:t xml:space="preserve"> </w:t>
      </w:r>
      <w:r>
        <w:t xml:space="preserve">requires R version &gt;= 3.5.0. The</w:t>
      </w:r>
      <w:r>
        <w:t xml:space="preserve"> </w:t>
      </w:r>
      <w:r>
        <w:rPr>
          <w:iCs/>
          <w:i/>
        </w:rPr>
        <w:t xml:space="preserve">nsink</w:t>
      </w:r>
      <w:r>
        <w:t xml:space="preserve"> </w:t>
      </w:r>
      <w:r>
        <w:t xml:space="preserve">package is available from</w:t>
      </w:r>
      <w:r>
        <w:t xml:space="preserve"> </w:t>
      </w:r>
      <w:hyperlink r:id="rId27">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49"/>
    <w:bookmarkStart w:id="64" w:name="use-cases"/>
    <w:p>
      <w:pPr>
        <w:pStyle w:val="Heading1"/>
      </w:pPr>
      <w:r>
        <w:t xml:space="preserve">Use Cases</w:t>
      </w:r>
    </w:p>
    <w:bookmarkStart w:id="53" w:name="Xa4e3f6e47dfffea6683e9f54bdbab5bc5bc1228"/>
    <w:p>
      <w:pPr>
        <w:pStyle w:val="Heading2"/>
      </w:pPr>
      <w:r>
        <w:t xml:space="preserve">Use Case 1: Comparison of N delivery from two adjacent locations</w:t>
      </w:r>
    </w:p>
    <w:p>
      <w:pPr>
        <w:pStyle w:val="FirstParagraph"/>
      </w:pPr>
      <w:r>
        <w:t xml:space="preserve">Users can use the following code to interactively identify a starting point for a flowpath of interest.</w:t>
      </w:r>
    </w:p>
    <w:p>
      <w:pPr>
        <w:pStyle w:val="SourceCode"/>
      </w:pPr>
      <w:r>
        <w:rPr>
          <w:rStyle w:val="CommentTok"/>
        </w:rPr>
        <w:t xml:space="preserve"># Plot watershed with base R</w:t>
      </w:r>
      <w:r>
        <w:br/>
      </w:r>
      <w:r>
        <w:rPr>
          <w:rStyle w:val="FunctionTok"/>
        </w:rPr>
        <w:t xml:space="preserve">plot</w:t>
      </w:r>
      <w:r>
        <w:rPr>
          <w:rStyle w:val="NormalTok"/>
        </w:rPr>
        <w:t xml:space="preserve">(</w:t>
      </w:r>
      <w:r>
        <w:rPr>
          <w:rStyle w:val="FunctionTok"/>
        </w:rPr>
        <w:t xml:space="preserve">st_geometry</w:t>
      </w:r>
      <w:r>
        <w:rPr>
          <w:rStyle w:val="NormalTok"/>
        </w:rPr>
        <w:t xml:space="preserve">(niantic_data</w:t>
      </w:r>
      <w:r>
        <w:rPr>
          <w:rStyle w:val="SpecialCharTok"/>
        </w:rPr>
        <w:t xml:space="preserve">$</w:t>
      </w:r>
      <w:r>
        <w:rPr>
          <w:rStyle w:val="NormalTok"/>
        </w:rPr>
        <w:t xml:space="preserve">huc))</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Plot flowpath</w:t>
      </w:r>
      <w:r>
        <w:br/>
      </w:r>
      <w:r>
        <w:rPr>
          <w:rStyle w:val="FunctionTok"/>
        </w:rPr>
        <w:t xml:space="preserve">plot</w:t>
      </w:r>
      <w:r>
        <w:rPr>
          <w:rStyle w:val="NormalTok"/>
        </w:rPr>
        <w:t xml:space="preserve">(</w:t>
      </w:r>
      <w:r>
        <w:rPr>
          <w:rStyle w:val="FunctionTok"/>
        </w:rPr>
        <w:t xml:space="preserve">st_geometry</w:t>
      </w:r>
      <w:r>
        <w:rPr>
          <w:rStyle w:val="NormalTok"/>
        </w:rPr>
        <w:t xml:space="preserve">(niantic_fp</w:t>
      </w:r>
      <w:r>
        <w:rPr>
          <w:rStyle w:val="SpecialCharTok"/>
        </w:rPr>
        <w:t xml:space="preserve">$</w:t>
      </w:r>
      <w:r>
        <w:rPr>
          <w:rStyle w:val="NormalTok"/>
        </w:rPr>
        <w:t xml:space="preserve">flowpath_network),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 </w:t>
      </w:r>
      <w:r>
        <w:t xml:space="preserve">eastern region (flowpath B) underlines the importance of wetlands and slow-moving water ways, such as ponds, that protect downstream waters by slowing flow and increasing opportunities for N transformation.</w:t>
      </w:r>
    </w:p>
    <w:p>
      <w:pPr>
        <w:pStyle w:val="CaptionedFigure"/>
      </w:pPr>
      <w:r>
        <w:drawing>
          <wp:inline>
            <wp:extent cx="5943600" cy="7924799"/>
            <wp:effectExtent b="0" l="0" r="0" t="0"/>
            <wp:docPr descr="Figure 4: Flowpaths originating from two nearby locations within the Niantic River HUC-12 with differing N removal estimates. Hydrofeatures are pictured on the Nitrogen Transport Index map." title="" id="51" name="Picture"/>
            <a:graphic>
              <a:graphicData uri="http://schemas.openxmlformats.org/drawingml/2006/picture">
                <pic:pic>
                  <pic:nvPicPr>
                    <pic:cNvPr descr="manuscript_files/figure-docx/plot4-1.png" id="52" name="Picture"/>
                    <pic:cNvPicPr>
                      <a:picLocks noChangeArrowheads="1" noChangeAspect="1"/>
                    </pic:cNvPicPr>
                  </pic:nvPicPr>
                  <pic:blipFill>
                    <a:blip r:embed="rId50"/>
                    <a:stretch>
                      <a:fillRect/>
                    </a:stretch>
                  </pic:blipFill>
                  <pic:spPr bwMode="auto">
                    <a:xfrm>
                      <a:off x="0" y="0"/>
                      <a:ext cx="5943600" cy="7924799"/>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 (Fig. 4), as generated by the R package, nsink.</w:t>
      </w:r>
    </w:p>
    <w:tbl>
      <w:tblPr>
        <w:tblStyle w:val="Table"/>
        <w:tblW w:type="auto" w:w="0"/>
        <w:tblLook w:firstRow="1" w:lastRow="0" w:firstColumn="0" w:lastColumn="0" w:noHBand="0" w:noVBand="0" w:val="0020"/>
        <w:jc w:val="start"/>
        <w:tblCaption w:val="Table 3: Summary of N removal along specified flowpath B (Fig. 4), as generated by the R package, nsink."/>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382</w:t>
            </w:r>
          </w:p>
        </w:tc>
        <w:tc>
          <w:tcPr/>
          <w:p>
            <w:pPr>
              <w:pStyle w:val="Compact"/>
              <w:jc w:val="right"/>
            </w:pPr>
            <w:r>
              <w:t xml:space="preserve">3.980</w:t>
            </w:r>
          </w:p>
        </w:tc>
        <w:tc>
          <w:tcPr/>
          <w:p>
            <w:pPr>
              <w:pStyle w:val="Compact"/>
              <w:jc w:val="right"/>
            </w:pPr>
            <w:r>
              <w:t xml:space="preserve">100.0</w:t>
            </w:r>
          </w:p>
        </w:tc>
        <w:tc>
          <w:tcPr/>
          <w:p>
            <w:pPr>
              <w:pStyle w:val="Compact"/>
              <w:jc w:val="right"/>
            </w:pPr>
            <w:r>
              <w:t xml:space="preserve">96.0</w:t>
            </w:r>
          </w:p>
        </w:tc>
      </w:tr>
      <w:tr>
        <w:tc>
          <w:tcPr/>
          <w:p>
            <w:pPr>
              <w:pStyle w:val="Compact"/>
              <w:jc w:val="left"/>
            </w:pPr>
            <w:r>
              <w:t xml:space="preserve">No Removal</w:t>
            </w:r>
          </w:p>
        </w:tc>
        <w:tc>
          <w:tcPr/>
          <w:p>
            <w:pPr>
              <w:pStyle w:val="Compact"/>
              <w:jc w:val="right"/>
            </w:pPr>
            <w:r>
              <w:t xml:space="preserve">181</w:t>
            </w:r>
          </w:p>
        </w:tc>
        <w:tc>
          <w:tcPr/>
          <w:p>
            <w:pPr>
              <w:pStyle w:val="Compact"/>
              <w:jc w:val="right"/>
            </w:pPr>
            <w:r>
              <w:t xml:space="preserve">0.000</w:t>
            </w:r>
          </w:p>
        </w:tc>
        <w:tc>
          <w:tcPr/>
          <w:p>
            <w:pPr>
              <w:pStyle w:val="Compact"/>
              <w:jc w:val="right"/>
            </w:pPr>
            <w:r>
              <w:t xml:space="preserve">96.0</w:t>
            </w:r>
          </w:p>
        </w:tc>
        <w:tc>
          <w:tcPr/>
          <w:p>
            <w:pPr>
              <w:pStyle w:val="Compact"/>
              <w:jc w:val="right"/>
            </w:pPr>
            <w:r>
              <w:t xml:space="preserve">96.0</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96.0</w:t>
            </w:r>
          </w:p>
        </w:tc>
        <w:tc>
          <w:tcPr/>
          <w:p>
            <w:pPr>
              <w:pStyle w:val="Compact"/>
              <w:jc w:val="right"/>
            </w:pPr>
            <w:r>
              <w:t xml:space="preserve">56.2</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56.2</w:t>
            </w:r>
          </w:p>
        </w:tc>
        <w:tc>
          <w:tcPr/>
          <w:p>
            <w:pPr>
              <w:pStyle w:val="Compact"/>
              <w:jc w:val="right"/>
            </w:pPr>
            <w:r>
              <w:t xml:space="preserve">56.2</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56.2</w:t>
            </w:r>
          </w:p>
        </w:tc>
        <w:tc>
          <w:tcPr/>
          <w:p>
            <w:pPr>
              <w:pStyle w:val="Compact"/>
              <w:jc w:val="right"/>
            </w:pPr>
            <w:r>
              <w:t xml:space="preserve">24.6</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24.6</w:t>
            </w:r>
          </w:p>
        </w:tc>
        <w:tc>
          <w:tcPr/>
          <w:p>
            <w:pPr>
              <w:pStyle w:val="Compact"/>
              <w:jc w:val="right"/>
            </w:pPr>
            <w:r>
              <w:t xml:space="preserve">24.6</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24.6</w:t>
            </w:r>
          </w:p>
        </w:tc>
        <w:tc>
          <w:tcPr/>
          <w:p>
            <w:pPr>
              <w:pStyle w:val="Compact"/>
              <w:jc w:val="right"/>
            </w:pPr>
            <w:r>
              <w:t xml:space="preserve">24.6</w:t>
            </w:r>
          </w:p>
        </w:tc>
      </w:tr>
    </w:tbl>
    <w:bookmarkEnd w:id="53"/>
    <w:bookmarkStart w:id="63" w:name="X11bc46a81652ed563c8b8b9b4a91ab58697ec5d"/>
    <w:p>
      <w:pPr>
        <w:pStyle w:val="Heading2"/>
      </w:pPr>
      <w:r>
        <w:t xml:space="preserve">Use Case 2: Source controls and sink protection or restoration</w:t>
      </w:r>
    </w:p>
    <w:p>
      <w:pPr>
        <w:pStyle w:val="FirstParagraph"/>
      </w:pPr>
      <w:r>
        <w:t xml:space="preserve">The maps produced by N-Sink can help prioritize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w:t>
      </w:r>
      <w:r>
        <w:t xml:space="preserve">”</w:t>
      </w:r>
      <w:r>
        <w:t xml:space="preserve"> </w:t>
      </w:r>
      <w:r>
        <w:t xml:space="preserve">parts of a catchment. Figure 5A displays a high resolution image of land cover in the same watershed as Example 1, with two developed areas circled.Figure 5B displays the Nitrogen Transport Index map for the same area, showing the western area to be</w:t>
      </w:r>
      <w:r>
        <w:t xml:space="preserve"> </w:t>
      </w:r>
      <w:r>
        <w:t xml:space="preserve">“</w:t>
      </w:r>
      <w:r>
        <w:t xml:space="preserve">leakier</w:t>
      </w:r>
      <w:r>
        <w:t xml:space="preserve">”</w:t>
      </w:r>
      <w:r>
        <w:t xml:space="preserve"> </w:t>
      </w:r>
      <w:r>
        <w:t xml:space="preserve">than the eastern area.</w:t>
      </w:r>
    </w:p>
    <w:p>
      <w:pPr>
        <w:pStyle w:val="CaptionedFigure"/>
      </w:pPr>
      <w:r>
        <w:drawing>
          <wp:inline>
            <wp:extent cx="5504749" cy="4403799"/>
            <wp:effectExtent b="0" l="0" r="0" t="0"/>
            <wp:docPr descr="Figure 5A: Land cover within an area of interest in the Niantic River HUC-12, highlighting two similarly developed areas (summary given in Table 4)." title="" id="55" name="Picture"/>
            <a:graphic>
              <a:graphicData uri="http://schemas.openxmlformats.org/drawingml/2006/picture">
                <pic:pic>
                  <pic:nvPicPr>
                    <pic:cNvPr descr="manuscript_files/figure-docx/plot5a-1.png" id="56" name="Picture"/>
                    <pic:cNvPicPr>
                      <a:picLocks noChangeArrowheads="1" noChangeAspect="1"/>
                    </pic:cNvPicPr>
                  </pic:nvPicPr>
                  <pic:blipFill>
                    <a:blip r:embed="rId54"/>
                    <a:stretch>
                      <a:fillRect/>
                    </a:stretch>
                  </pic:blipFill>
                  <pic:spPr bwMode="auto">
                    <a:xfrm>
                      <a:off x="0" y="0"/>
                      <a:ext cx="5504749" cy="4403799"/>
                    </a:xfrm>
                    <a:prstGeom prst="rect">
                      <a:avLst/>
                    </a:prstGeom>
                    <a:noFill/>
                    <a:ln w="9525">
                      <a:noFill/>
                      <a:headEnd/>
                      <a:tailEnd/>
                    </a:ln>
                  </pic:spPr>
                </pic:pic>
              </a:graphicData>
            </a:graphic>
          </wp:inline>
        </w:drawing>
      </w:r>
    </w:p>
    <w:p>
      <w:pPr>
        <w:pStyle w:val="ImageCaption"/>
      </w:pPr>
      <w:r>
        <w:t xml:space="preserve">Figure 5A: Land cover within an area of interest in the Niantic River HUC-12, highlighting two similarly developed areas (summary given in Table 4).</w:t>
      </w:r>
    </w:p>
    <w:p>
      <w:pPr>
        <w:pStyle w:val="TableCaption"/>
      </w:pPr>
      <w:r>
        <w:t xml:space="preserve">Table 4: Summary of land cover in highlighted areas of interest.</w:t>
      </w:r>
    </w:p>
    <w:tbl>
      <w:tblPr>
        <w:tblStyle w:val="Table"/>
        <w:tblW w:type="auto" w:w="0"/>
        <w:tblLook w:firstRow="1" w:lastRow="0" w:firstColumn="0" w:lastColumn="0" w:noHBand="0" w:noVBand="0" w:val="0020"/>
        <w:jc w:val="start"/>
        <w:tblCaption w:val="Table 4: Summary of land cover in highlighted areas of interest."/>
      </w:tblPr>
      <w:tblGrid>
        <w:gridCol w:w="2640"/>
        <w:gridCol w:w="2640"/>
        <w:gridCol w:w="2640"/>
      </w:tblGrid>
      <w:tr>
        <w:trPr>
          <w:tblHeader w:val="true"/>
        </w:trPr>
        <w:tc>
          <w:tcPr/>
          <w:p>
            <w:pPr>
              <w:pStyle w:val="Compact"/>
              <w:jc w:val="left"/>
            </w:pPr>
            <w:r>
              <w:t xml:space="preserve">Land Cover</w:t>
            </w:r>
          </w:p>
        </w:tc>
        <w:tc>
          <w:tcPr/>
          <w:p>
            <w:pPr>
              <w:pStyle w:val="Compact"/>
              <w:jc w:val="right"/>
            </w:pPr>
            <w:r>
              <w:t xml:space="preserve">West (%)</w:t>
            </w:r>
          </w:p>
        </w:tc>
        <w:tc>
          <w:tcPr/>
          <w:p>
            <w:pPr>
              <w:pStyle w:val="Compact"/>
              <w:jc w:val="right"/>
            </w:pPr>
            <w:r>
              <w:t xml:space="preserve">East (%)</w:t>
            </w:r>
          </w:p>
        </w:tc>
      </w:tr>
      <w:tr>
        <w:tc>
          <w:tcPr/>
          <w:p>
            <w:pPr>
              <w:pStyle w:val="Compact"/>
              <w:jc w:val="left"/>
            </w:pPr>
            <w:r>
              <w:t xml:space="preserve">Developed</w:t>
            </w:r>
          </w:p>
        </w:tc>
        <w:tc>
          <w:tcPr/>
          <w:p>
            <w:pPr>
              <w:pStyle w:val="Compact"/>
              <w:jc w:val="right"/>
            </w:pPr>
            <w:r>
              <w:t xml:space="preserve">22</w:t>
            </w:r>
          </w:p>
        </w:tc>
        <w:tc>
          <w:tcPr/>
          <w:p>
            <w:pPr>
              <w:pStyle w:val="Compact"/>
              <w:jc w:val="right"/>
            </w:pPr>
            <w:r>
              <w:t xml:space="preserve">20</w:t>
            </w:r>
          </w:p>
        </w:tc>
      </w:tr>
      <w:tr>
        <w:tc>
          <w:tcPr/>
          <w:p>
            <w:pPr>
              <w:pStyle w:val="Compact"/>
              <w:jc w:val="left"/>
            </w:pPr>
            <w:r>
              <w:t xml:space="preserve">Agriculture</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Forest/Vegetated</w:t>
            </w:r>
          </w:p>
        </w:tc>
        <w:tc>
          <w:tcPr/>
          <w:p>
            <w:pPr>
              <w:pStyle w:val="Compact"/>
              <w:jc w:val="right"/>
            </w:pPr>
            <w:r>
              <w:t xml:space="preserve">65</w:t>
            </w:r>
          </w:p>
        </w:tc>
        <w:tc>
          <w:tcPr/>
          <w:p>
            <w:pPr>
              <w:pStyle w:val="Compact"/>
              <w:jc w:val="right"/>
            </w:pPr>
            <w:r>
              <w:t xml:space="preserve">62</w:t>
            </w:r>
          </w:p>
        </w:tc>
      </w:tr>
      <w:tr>
        <w:tc>
          <w:tcPr/>
          <w:p>
            <w:pPr>
              <w:pStyle w:val="Compact"/>
              <w:jc w:val="left"/>
            </w:pPr>
            <w:r>
              <w:t xml:space="preserve">Wetlands</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Other</w:t>
            </w:r>
          </w:p>
        </w:tc>
        <w:tc>
          <w:tcPr/>
          <w:p>
            <w:pPr>
              <w:pStyle w:val="Compact"/>
              <w:jc w:val="right"/>
            </w:pPr>
            <w:r>
              <w:t xml:space="preserve">0</w:t>
            </w:r>
          </w:p>
        </w:tc>
        <w:tc>
          <w:tcPr/>
          <w:p>
            <w:pPr>
              <w:pStyle w:val="Compact"/>
              <w:jc w:val="right"/>
            </w:pPr>
            <w:r>
              <w:t xml:space="preserve">1</w:t>
            </w:r>
          </w:p>
        </w:tc>
      </w:tr>
    </w:tbl>
    <w:p>
      <w:pPr>
        <w:pStyle w:val="CaptionedFigure"/>
      </w:pPr>
      <w:r>
        <w:drawing>
          <wp:inline>
            <wp:extent cx="5504749" cy="4403799"/>
            <wp:effectExtent b="0" l="0" r="0" t="0"/>
            <wp:docPr descr="Figure 5B: Nitrogen Transport Index within an area of interest in the Niantic River HUC-12, highlighting two similarly developed areas." title="" id="58" name="Picture"/>
            <a:graphic>
              <a:graphicData uri="http://schemas.openxmlformats.org/drawingml/2006/picture">
                <pic:pic>
                  <pic:nvPicPr>
                    <pic:cNvPr descr="manuscript_files/figure-docx/plot5b-1.png" id="59" name="Picture"/>
                    <pic:cNvPicPr>
                      <a:picLocks noChangeArrowheads="1" noChangeAspect="1"/>
                    </pic:cNvPicPr>
                  </pic:nvPicPr>
                  <pic:blipFill>
                    <a:blip r:embed="rId57"/>
                    <a:stretch>
                      <a:fillRect/>
                    </a:stretch>
                  </pic:blipFill>
                  <pic:spPr bwMode="auto">
                    <a:xfrm>
                      <a:off x="0" y="0"/>
                      <a:ext cx="5504749" cy="4403799"/>
                    </a:xfrm>
                    <a:prstGeom prst="rect">
                      <a:avLst/>
                    </a:prstGeom>
                    <a:noFill/>
                    <a:ln w="9525">
                      <a:noFill/>
                      <a:headEnd/>
                      <a:tailEnd/>
                    </a:ln>
                  </pic:spPr>
                </pic:pic>
              </a:graphicData>
            </a:graphic>
          </wp:inline>
        </w:drawing>
      </w:r>
    </w:p>
    <w:p>
      <w:pPr>
        <w:pStyle w:val="ImageCaption"/>
      </w:pPr>
      <w:r>
        <w:t xml:space="preserve">Figure 5B: Nitrogen Transport Index within an area of interest in the Niantic River HUC-12, highlighting two similarly developed areas.</w:t>
      </w:r>
    </w:p>
    <w:p>
      <w:pPr>
        <w:pStyle w:val="BodyText"/>
      </w:pPr>
      <w:r>
        <w:t xml:space="preserve">An analysis of N delivery from these two similarly developed areas (average N loading index of developed areas: West = 0.57; East = 0.56), show the western area may contribute more N loading to the estuary than the eastern area, with the average delivery index value of the western area (41) almost 80% higher than the eastern area (23; Figure 5C), suggesting a greater need for N source controls within the western development.</w:t>
      </w:r>
    </w:p>
    <w:p>
      <w:pPr>
        <w:pStyle w:val="CaptionedFigure"/>
      </w:pPr>
      <w:r>
        <w:drawing>
          <wp:inline>
            <wp:extent cx="5504749" cy="4403799"/>
            <wp:effectExtent b="0" l="0" r="0" t="0"/>
            <wp:docPr descr="Figure 5C: Nitrogen Delivery Index within an area of interest in the Niantic River HUC-12, highlighting two similarly developed areas. Darker colors denote higher N delivery based on normalized loading from different land covers multiplied by the N Transport Efficiency." title="" id="61" name="Picture"/>
            <a:graphic>
              <a:graphicData uri="http://schemas.openxmlformats.org/drawingml/2006/picture">
                <pic:pic>
                  <pic:nvPicPr>
                    <pic:cNvPr descr="manuscript_files/figure-docx/plot5C-1.png" id="62" name="Picture"/>
                    <pic:cNvPicPr>
                      <a:picLocks noChangeArrowheads="1" noChangeAspect="1"/>
                    </pic:cNvPicPr>
                  </pic:nvPicPr>
                  <pic:blipFill>
                    <a:blip r:embed="rId60"/>
                    <a:stretch>
                      <a:fillRect/>
                    </a:stretch>
                  </pic:blipFill>
                  <pic:spPr bwMode="auto">
                    <a:xfrm>
                      <a:off x="0" y="0"/>
                      <a:ext cx="5504749" cy="4403799"/>
                    </a:xfrm>
                    <a:prstGeom prst="rect">
                      <a:avLst/>
                    </a:prstGeom>
                    <a:noFill/>
                    <a:ln w="9525">
                      <a:noFill/>
                      <a:headEnd/>
                      <a:tailEnd/>
                    </a:ln>
                  </pic:spPr>
                </pic:pic>
              </a:graphicData>
            </a:graphic>
          </wp:inline>
        </w:drawing>
      </w:r>
    </w:p>
    <w:p>
      <w:pPr>
        <w:pStyle w:val="ImageCaption"/>
      </w:pPr>
      <w:r>
        <w:t xml:space="preserve">Figure 5C: Nitrogen Delivery Index within an area of interest in the Niantic River HUC-12, highlighting two similarly developed areas. Darker colors denote higher N delivery based on normalized loading from different land covers multiplied by the N Transport Efficiency.</w:t>
      </w:r>
    </w:p>
    <w:p>
      <w:pPr>
        <w:pStyle w:val="BodyText"/>
      </w:pPr>
      <w:r>
        <w:t xml:space="preserve">Other examples using N-Sink to examine the N loading implications of past land use decisions are also available as</w:t>
      </w:r>
      <w:r>
        <w:t xml:space="preserve"> </w:t>
      </w:r>
      <w:hyperlink r:id="rId21">
        <w:r>
          <w:rPr>
            <w:rStyle w:val="Hyperlink"/>
          </w:rPr>
          <w:t xml:space="preserve">bonus maps</w:t>
        </w:r>
      </w:hyperlink>
      <w:r>
        <w:t xml:space="preserve"> </w:t>
      </w:r>
      <w:r>
        <w:t xml:space="preserve">on the N-Sink website.</w:t>
      </w:r>
    </w:p>
    <w:bookmarkEnd w:id="63"/>
    <w:bookmarkEnd w:id="64"/>
    <w:bookmarkStart w:id="66" w:name="discussion"/>
    <w:p>
      <w:pPr>
        <w:pStyle w:val="Heading1"/>
      </w:pPr>
      <w:r>
        <w:t xml:space="preserve">Discussion</w:t>
      </w:r>
    </w:p>
    <w:p>
      <w:pPr>
        <w:pStyle w:val="FirstParagraph"/>
      </w:pPr>
      <w:r>
        <w:t xml:space="preserve">N-Sink as implemented in the</w:t>
      </w:r>
      <w:r>
        <w:t xml:space="preserve"> </w:t>
      </w:r>
      <w:r>
        <w:rPr>
          <w:iCs/>
          <w:i/>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21">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Currently N-Sink is being used as an integral component in a project based in Long Island Sound, funded by the</w:t>
      </w:r>
      <w:r>
        <w:t xml:space="preserve"> </w:t>
      </w:r>
      <w:hyperlink r:id="rId65">
        <w:r>
          <w:rPr>
            <w:rStyle w:val="Hyperlink"/>
          </w:rPr>
          <w:t xml:space="preserve">Long Island Sound Study Research Fund</w:t>
        </w:r>
      </w:hyperlink>
      <w:r>
        <w:t xml:space="preserve">. The project is focused on targeting outreach on fertilizer use within the 43,560 km2 catchment.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66"/>
    <w:bookmarkStart w:id="67" w:name="data-availability"/>
    <w:p>
      <w:pPr>
        <w:pStyle w:val="Heading1"/>
      </w:pPr>
      <w:r>
        <w:t xml:space="preserve">Data availability</w:t>
      </w:r>
    </w:p>
    <w:p>
      <w:pPr>
        <w:pStyle w:val="FirstParagraph"/>
      </w:pPr>
      <w:r>
        <w:t xml:space="preserve">Datasets used by nsink include the National Hydrography Dataset Plus (NHDPlus), Soil Survey Geographic Database (SSURGO), the National Land Cover Dataset (NLCD) land cover and the National Landcover Dataset (NLCD) Impervious Surface</w:t>
      </w:r>
      <w:r>
        <w:t xml:space="preserve"> </w:t>
      </w:r>
      <w:r>
        <w:t xml:space="preserve">(Soil Survey Staff 2017, Jin et al. 2019, Moore et al. 2019)</w:t>
      </w:r>
      <w:r>
        <w:t xml:space="preserve">. All are available via the FedData package in R</w:t>
      </w:r>
      <w:r>
        <w:t xml:space="preserve"> </w:t>
      </w:r>
      <w:r>
        <w:t xml:space="preserve">(Bocinsky 2023)</w:t>
      </w:r>
      <w:r>
        <w:t xml:space="preserve">.</w:t>
      </w:r>
    </w:p>
    <w:bookmarkEnd w:id="67"/>
    <w:bookmarkStart w:id="68" w:name="software-availability"/>
    <w:p>
      <w:pPr>
        <w:pStyle w:val="Heading1"/>
      </w:pPr>
      <w:r>
        <w:t xml:space="preserve">Software availability</w:t>
      </w:r>
    </w:p>
    <w:p>
      <w:pPr>
        <w:pStyle w:val="FirstParagraph"/>
      </w:pPr>
      <w:r>
        <w:t xml:space="preserve">Software available from:</w:t>
      </w:r>
      <w:r>
        <w:t xml:space="preserve"> </w:t>
      </w:r>
      <w:hyperlink r:id="rId27">
        <w:r>
          <w:rPr>
            <w:rStyle w:val="Hyperlink"/>
          </w:rPr>
          <w:t xml:space="preserve">https://github.com/usepa/nsink</w:t>
        </w:r>
      </w:hyperlink>
    </w:p>
    <w:p>
      <w:pPr>
        <w:pStyle w:val="BodyText"/>
      </w:pPr>
      <w:r>
        <w:t xml:space="preserve">Source code available from:</w:t>
      </w:r>
      <w:r>
        <w:t xml:space="preserve"> </w:t>
      </w:r>
      <w:hyperlink r:id="rId27">
        <w:r>
          <w:rPr>
            <w:rStyle w:val="Hyperlink"/>
          </w:rPr>
          <w:t xml:space="preserve">https://github.com/usepa/nsink</w:t>
        </w:r>
      </w:hyperlink>
    </w:p>
    <w:p>
      <w:pPr>
        <w:pStyle w:val="BodyText"/>
      </w:pPr>
      <w:r>
        <w:t xml:space="preserve">Archived source code at the time of publication: DOI: 10.5281/zenodo.10045141</w:t>
      </w:r>
    </w:p>
    <w:p>
      <w:pPr>
        <w:pStyle w:val="BodyText"/>
      </w:pPr>
      <w:r>
        <w:t xml:space="preserve">License: MIT</w:t>
      </w:r>
    </w:p>
    <w:bookmarkEnd w:id="68"/>
    <w:bookmarkStart w:id="69" w:name="competing-interests"/>
    <w:p>
      <w:pPr>
        <w:pStyle w:val="Heading1"/>
      </w:pPr>
      <w:r>
        <w:t xml:space="preserve">Competing interests</w:t>
      </w:r>
    </w:p>
    <w:p>
      <w:pPr>
        <w:pStyle w:val="FirstParagraph"/>
      </w:pPr>
      <w:r>
        <w:t xml:space="preserve">The authors declare that they have no competing interests.</w:t>
      </w:r>
    </w:p>
    <w:bookmarkEnd w:id="69"/>
    <w:bookmarkStart w:id="70" w:name="grant-information"/>
    <w:p>
      <w:pPr>
        <w:pStyle w:val="Heading1"/>
      </w:pPr>
      <w:r>
        <w:t xml:space="preserve">Grant information</w:t>
      </w:r>
    </w:p>
    <w:p>
      <w:pPr>
        <w:pStyle w:val="FirstParagraph"/>
      </w:pPr>
      <w:r>
        <w:t xml:space="preserve">The research was supported, in part, by a cooperative agreement with the U.S. Environmental Protection Agency’s Office of Research and Development, EPA Assistant Agreement Number CR83680001,</w:t>
      </w:r>
      <w:r>
        <w:t xml:space="preserve"> </w:t>
      </w:r>
      <w:r>
        <w:t xml:space="preserve">“</w:t>
      </w:r>
      <w:r>
        <w:t xml:space="preserve">N-Sink tool and outreach to two watersheds in New England.</w:t>
      </w:r>
      <w:r>
        <w:t xml:space="preserve">”</w:t>
      </w:r>
    </w:p>
    <w:bookmarkEnd w:id="70"/>
    <w:bookmarkStart w:id="71" w:name="acknowledgements"/>
    <w:p>
      <w:pPr>
        <w:pStyle w:val="Heading1"/>
      </w:pPr>
      <w:r>
        <w:t xml:space="preserve">Acknowledgements</w:t>
      </w:r>
    </w:p>
    <w:p>
      <w:pPr>
        <w:pStyle w:val="FirstParagraph"/>
      </w:pPr>
      <w:r>
        <w:t xml:space="preserve">Many people have contributed in various ways to the development of the N-Sink</w:t>
      </w:r>
      <w:r>
        <w:t xml:space="preserve"> </w:t>
      </w:r>
      <w:r>
        <w:t xml:space="preserve">concept. In particular, we would like to thank Peter August and Chris Damon of</w:t>
      </w:r>
      <w:r>
        <w:t xml:space="preserve"> </w:t>
      </w:r>
      <w:r>
        <w:t xml:space="preserve">the University of Rhode Island’s Department of Natural Resources Science.</w:t>
      </w:r>
      <w:r>
        <w:br/>
      </w:r>
      <w:r>
        <w:t xml:space="preserve">Additionally, we are grateful to Stephen Shivers, Anne Kuhn, Andrea Bartolotti,</w:t>
      </w:r>
      <w:r>
        <w:t xml:space="preserve"> </w:t>
      </w:r>
      <w:r>
        <w:t xml:space="preserve">Suzanne Ayvazian, and Tim Gleason for constructive reviews of this paper.</w:t>
      </w:r>
    </w:p>
    <w:p>
      <w:pPr>
        <w:pStyle w:val="BodyText"/>
      </w:pPr>
      <w:r>
        <w:t xml:space="preserve">The views expressed in this article are those of the authors and do not necessarily</w:t>
      </w:r>
      <w:r>
        <w:t xml:space="preserve"> </w:t>
      </w:r>
      <w:r>
        <w:t xml:space="preserve">represent the views or policies of the U.S. Environmental Protection Agency. Any</w:t>
      </w:r>
      <w:r>
        <w:t xml:space="preserve"> </w:t>
      </w:r>
      <w:r>
        <w:t xml:space="preserve">mention of trade names, products, or services does not imply an endorsement by</w:t>
      </w:r>
      <w:r>
        <w:t xml:space="preserve"> </w:t>
      </w:r>
      <w:r>
        <w:t xml:space="preserve">the U.S. Government or the U.S. Environmental Protection Agency. The EPA does</w:t>
      </w:r>
      <w:r>
        <w:t xml:space="preserve"> </w:t>
      </w:r>
      <w:r>
        <w:t xml:space="preserve">not endorse any commercial products, services, or enterprises. This contribution is identified by the tracking number ORD-054342 of the Atlantic Coastal Environmental Sciences Division, Office of Research and Development, Center for Environmental Measurement and Modeling, US Environmental Protection Agency.</w:t>
      </w:r>
    </w:p>
    <w:bookmarkEnd w:id="71"/>
    <w:bookmarkStart w:id="123" w:name="bibliography"/>
    <w:p>
      <w:pPr>
        <w:pStyle w:val="Heading1"/>
      </w:pPr>
      <w:r>
        <w:t xml:space="preserve">Bibliography</w:t>
      </w:r>
    </w:p>
    <w:bookmarkStart w:id="122" w:name="refs"/>
    <w:bookmarkStart w:id="72" w:name="ref-addy2005denitrification"/>
    <w:p>
      <w:pPr>
        <w:pStyle w:val="Bibliography"/>
      </w:pPr>
      <w:r>
        <w:t xml:space="preserve">Addy, K., A. Gold, B. Nowicki, J. McKenna, M. Stolt, and P. Groffman. 2005. Denitrification capacity in a subterranean estuary below a rhode island fringing salt marsh. Estuaries 28:896–908.</w:t>
      </w:r>
    </w:p>
    <w:bookmarkEnd w:id="72"/>
    <w:bookmarkStart w:id="73"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73"/>
    <w:bookmarkStart w:id="74"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74"/>
    <w:bookmarkStart w:id="76" w:name="ref-feddata"/>
    <w:p>
      <w:pPr>
        <w:pStyle w:val="Bibliography"/>
      </w:pPr>
      <w:r>
        <w:t xml:space="preserve">Bocinsky, R. K. 2023.</w:t>
      </w:r>
      <w:r>
        <w:t xml:space="preserve"> </w:t>
      </w:r>
      <w:hyperlink r:id="rId75">
        <w:r>
          <w:rPr>
            <w:rStyle w:val="Hyperlink"/>
          </w:rPr>
          <w:t xml:space="preserve">FedData: Functions to automate downloading geospatial data available from several federated data sources</w:t>
        </w:r>
      </w:hyperlink>
      <w:r>
        <w:t xml:space="preserve">.</w:t>
      </w:r>
    </w:p>
    <w:bookmarkEnd w:id="76"/>
    <w:bookmarkStart w:id="77"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77"/>
    <w:bookmarkStart w:id="78" w:name="ref-burnett2003groundwater"/>
    <w:p>
      <w:pPr>
        <w:pStyle w:val="Bibliography"/>
      </w:pPr>
      <w:r>
        <w:t xml:space="preserve">Burnett, W. C., H. Bokuniewicz, M. Huettel, W. S. Moore, and M. Taniguchi. 2003. Groundwater and pore water inputs to the coastal zone. Biogeochemistry 66:3–33.</w:t>
      </w:r>
    </w:p>
    <w:bookmarkEnd w:id="78"/>
    <w:bookmarkStart w:id="79"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79"/>
    <w:bookmarkStart w:id="80" w:name="ref-gold2001landscape"/>
    <w:p>
      <w:pPr>
        <w:pStyle w:val="Bibliography"/>
      </w:pPr>
      <w:r>
        <w:t xml:space="preserve">Gold, A. J., P. M. Groffman, K. Addy, D. Kellogg, M. Stolt, and A. E. Rosenblatt. 2001. Landscape attributes as controls on groithd water nitrate removal capacity of riparian zones 1. JAWRA Journal of the American Water Resources Association 37:1457–1464.</w:t>
      </w:r>
    </w:p>
    <w:bookmarkEnd w:id="80"/>
    <w:bookmarkStart w:id="82" w:name="ref-lubridate"/>
    <w:p>
      <w:pPr>
        <w:pStyle w:val="Bibliography"/>
      </w:pPr>
      <w:r>
        <w:t xml:space="preserve">Grolemund, G., and H. Wickham. 2011.</w:t>
      </w:r>
      <w:r>
        <w:t xml:space="preserve"> </w:t>
      </w:r>
      <w:hyperlink r:id="rId81">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40:1–25.</w:t>
      </w:r>
    </w:p>
    <w:bookmarkEnd w:id="82"/>
    <w:bookmarkStart w:id="83"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83"/>
    <w:bookmarkStart w:id="85" w:name="ref-tidyterra"/>
    <w:p>
      <w:pPr>
        <w:pStyle w:val="Bibliography"/>
      </w:pPr>
      <w:r>
        <w:t xml:space="preserve">Hernangómez, D. 2023.</w:t>
      </w:r>
      <w:r>
        <w:t xml:space="preserve"> </w:t>
      </w:r>
      <w:hyperlink r:id="rId84">
        <w:r>
          <w:rPr>
            <w:rStyle w:val="Hyperlink"/>
          </w:rPr>
          <w:t xml:space="preserve">tidyterra</w:t>
        </w:r>
        <w:r>
          <w:rPr>
            <w:rStyle w:val="Hyperlink"/>
          </w:rPr>
          <w:t xml:space="preserve">: Tidyverse methods and ggplot2 helpers for terra objects</w:t>
        </w:r>
      </w:hyperlink>
      <w:r>
        <w:t xml:space="preserve">.</w:t>
      </w:r>
    </w:p>
    <w:bookmarkEnd w:id="85"/>
    <w:bookmarkStart w:id="87" w:name="ref-raster"/>
    <w:p>
      <w:pPr>
        <w:pStyle w:val="Bibliography"/>
      </w:pPr>
      <w:r>
        <w:t xml:space="preserve">Hijmans, R. J. 2023a.</w:t>
      </w:r>
      <w:r>
        <w:t xml:space="preserve"> </w:t>
      </w:r>
      <w:hyperlink r:id="rId86">
        <w:r>
          <w:rPr>
            <w:rStyle w:val="Hyperlink"/>
          </w:rPr>
          <w:t xml:space="preserve">Raster: Geographic data analysis and modeling</w:t>
        </w:r>
      </w:hyperlink>
      <w:r>
        <w:t xml:space="preserve">.</w:t>
      </w:r>
    </w:p>
    <w:bookmarkEnd w:id="87"/>
    <w:bookmarkStart w:id="89" w:name="ref-terra"/>
    <w:p>
      <w:pPr>
        <w:pStyle w:val="Bibliography"/>
      </w:pPr>
      <w:r>
        <w:t xml:space="preserve">Hijmans, R. J. 2023b.</w:t>
      </w:r>
      <w:r>
        <w:t xml:space="preserve"> </w:t>
      </w:r>
      <w:hyperlink r:id="rId88">
        <w:r>
          <w:rPr>
            <w:rStyle w:val="Hyperlink"/>
          </w:rPr>
          <w:t xml:space="preserve">Terra: Spatial data analysis</w:t>
        </w:r>
      </w:hyperlink>
      <w:r>
        <w:t xml:space="preserve">.</w:t>
      </w:r>
    </w:p>
    <w:bookmarkEnd w:id="89"/>
    <w:bookmarkStart w:id="90"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90"/>
    <w:bookmarkStart w:id="91"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91"/>
    <w:bookmarkStart w:id="92"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92"/>
    <w:bookmarkStart w:id="93"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93"/>
    <w:bookmarkStart w:id="94"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94"/>
    <w:bookmarkStart w:id="95" w:name="ref-mayer2007meta"/>
    <w:p>
      <w:pPr>
        <w:pStyle w:val="Bibliography"/>
      </w:pPr>
      <w:r>
        <w:t xml:space="preserve">Mayer, P. M., S. K. Reynolds Jr, M. D. McCutchen, and T. J. Canfield. 2007. Meta-analysis of nitrogen removal in riparian buffers. Journal of environmental quality 36:1172–1180.</w:t>
      </w:r>
    </w:p>
    <w:bookmarkEnd w:id="95"/>
    <w:bookmarkStart w:id="96"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96"/>
    <w:bookmarkStart w:id="97"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97"/>
    <w:bookmarkStart w:id="99" w:name="ref-here"/>
    <w:p>
      <w:pPr>
        <w:pStyle w:val="Bibliography"/>
      </w:pPr>
      <w:r>
        <w:t xml:space="preserve">Müller, K. 2020.</w:t>
      </w:r>
      <w:r>
        <w:t xml:space="preserve"> </w:t>
      </w:r>
      <w:hyperlink r:id="rId98">
        <w:r>
          <w:rPr>
            <w:rStyle w:val="Hyperlink"/>
          </w:rPr>
          <w:t xml:space="preserve">Here: A simpler way to find your files</w:t>
        </w:r>
      </w:hyperlink>
      <w:r>
        <w:t xml:space="preserve">.</w:t>
      </w:r>
    </w:p>
    <w:bookmarkEnd w:id="99"/>
    <w:bookmarkStart w:id="100" w:name="ref-neal2018coastal"/>
    <w:p>
      <w:pPr>
        <w:pStyle w:val="Bibliography"/>
      </w:pPr>
      <w:r>
        <w:t xml:space="preserve">Neal, W. J., O. H. Pilkey, J. A. G. Cooper, and N. J. Longo. 2018. Why coastal regulations fail. Ocean &amp; coastal management 156:21–34.</w:t>
      </w:r>
    </w:p>
    <w:bookmarkEnd w:id="100"/>
    <w:bookmarkStart w:id="101" w:name="ref-nixon1995coastal"/>
    <w:p>
      <w:pPr>
        <w:pStyle w:val="Bibliography"/>
      </w:pPr>
      <w:r>
        <w:t xml:space="preserve">Nixon, S. W. 1995. Coastal marine eutrophication: A definition, social causes, and future concerns. Ophelia 41:199–219.</w:t>
      </w:r>
    </w:p>
    <w:bookmarkEnd w:id="101"/>
    <w:bookmarkStart w:id="102" w:name="ref-nowicki2008groundwater"/>
    <w:p>
      <w:pPr>
        <w:pStyle w:val="Bibliography"/>
      </w:pPr>
      <w:r>
        <w:t xml:space="preserve">Nowicki, B. L., and A. J. Gold. 2008. Groundwater nitrogen transport and input along the narragansett bay coastal margin. Science for Ecosystem-based Management: Narragansett Bay in the 21 st Century:67–100.</w:t>
      </w:r>
    </w:p>
    <w:bookmarkEnd w:id="102"/>
    <w:bookmarkStart w:id="104" w:name="ref-sf1"/>
    <w:p>
      <w:pPr>
        <w:pStyle w:val="Bibliography"/>
      </w:pPr>
      <w:r>
        <w:t xml:space="preserve">Pebesma, E. 2018.</w:t>
      </w:r>
      <w:r>
        <w:t xml:space="preserve"> </w:t>
      </w:r>
      <w:hyperlink r:id="rId103">
        <w:r>
          <w:rPr>
            <w:rStyle w:val="Hyperlink"/>
          </w:rPr>
          <w:t xml:space="preserve">Simple Features for R: Standardized Support for Spatial Vector Data</w:t>
        </w:r>
      </w:hyperlink>
      <w:r>
        <w:t xml:space="preserve">.</w:t>
      </w:r>
      <w:r>
        <w:t xml:space="preserve"> </w:t>
      </w:r>
      <w:r>
        <w:t xml:space="preserve">The R Journal</w:t>
      </w:r>
      <w:r>
        <w:t xml:space="preserve"> </w:t>
      </w:r>
      <w:r>
        <w:t xml:space="preserve">10:439–446.</w:t>
      </w:r>
    </w:p>
    <w:bookmarkEnd w:id="104"/>
    <w:bookmarkStart w:id="106" w:name="ref-sf2"/>
    <w:p>
      <w:pPr>
        <w:pStyle w:val="Bibliography"/>
      </w:pPr>
      <w:r>
        <w:t xml:space="preserve">Pebesma, E., and R. Bivand. 2023.</w:t>
      </w:r>
      <w:r>
        <w:t xml:space="preserve"> </w:t>
      </w:r>
      <w:hyperlink r:id="rId105">
        <w:r>
          <w:rPr>
            <w:rStyle w:val="Hyperlink"/>
          </w:rPr>
          <w:t xml:space="preserve">Spatial Data Science: With applications in R</w:t>
        </w:r>
      </w:hyperlink>
      <w:r>
        <w:t xml:space="preserve">. Page 352.</w:t>
      </w:r>
      <w:r>
        <w:t xml:space="preserve"> </w:t>
      </w:r>
      <w:r>
        <w:t xml:space="preserve">Chapman and Hall/CRC</w:t>
      </w:r>
      <w:r>
        <w:t xml:space="preserve">.</w:t>
      </w:r>
    </w:p>
    <w:bookmarkEnd w:id="106"/>
    <w:bookmarkStart w:id="108" w:name="ref-units"/>
    <w:p>
      <w:pPr>
        <w:pStyle w:val="Bibliography"/>
      </w:pPr>
      <w:r>
        <w:t xml:space="preserve">Pebesma, E., T. Mailund, and J. Hiebert. 2016.</w:t>
      </w:r>
      <w:r>
        <w:t xml:space="preserve"> </w:t>
      </w:r>
      <w:hyperlink r:id="rId107">
        <w:r>
          <w:rPr>
            <w:rStyle w:val="Hyperlink"/>
          </w:rPr>
          <w:t xml:space="preserve">Measurement units in</w:t>
        </w:r>
        <w:r>
          <w:rPr>
            <w:rStyle w:val="Hyperlink"/>
          </w:rPr>
          <w:t xml:space="preserve"> </w:t>
        </w:r>
        <w:r>
          <w:rPr>
            <w:rStyle w:val="Hyperlink"/>
          </w:rPr>
          <w:t xml:space="preserve">R</w:t>
        </w:r>
      </w:hyperlink>
      <w:r>
        <w:t xml:space="preserve">. R Journal 8:486–494.</w:t>
      </w:r>
    </w:p>
    <w:bookmarkEnd w:id="108"/>
    <w:bookmarkStart w:id="110" w:name="ref-R"/>
    <w:p>
      <w:pPr>
        <w:pStyle w:val="Bibliography"/>
      </w:pPr>
      <w:r>
        <w:t xml:space="preserve">R Core Team. 2022a.</w:t>
      </w:r>
      <w:r>
        <w:t xml:space="preserve"> </w:t>
      </w:r>
      <w:hyperlink r:id="rId109">
        <w:r>
          <w:rPr>
            <w:rStyle w:val="Hyperlink"/>
          </w:rPr>
          <w:t xml:space="preserve">R: A language and environment for statistical computing</w:t>
        </w:r>
      </w:hyperlink>
      <w:r>
        <w:t xml:space="preserve">. R Foundation for Statistical Computing, Vienna, Austria.</w:t>
      </w:r>
    </w:p>
    <w:bookmarkEnd w:id="110"/>
    <w:bookmarkStart w:id="111" w:name="ref-r2022"/>
    <w:p>
      <w:pPr>
        <w:pStyle w:val="Bibliography"/>
      </w:pPr>
      <w:r>
        <w:t xml:space="preserve">R Core Team. 2022b.</w:t>
      </w:r>
      <w:r>
        <w:t xml:space="preserve"> </w:t>
      </w:r>
      <w:hyperlink r:id="rId109">
        <w:r>
          <w:rPr>
            <w:rStyle w:val="Hyperlink"/>
          </w:rPr>
          <w:t xml:space="preserve">R: A language and environment for statistical computing</w:t>
        </w:r>
      </w:hyperlink>
      <w:r>
        <w:t xml:space="preserve">. R Foundation for Statistical Computing, Vienna, Austria.</w:t>
      </w:r>
    </w:p>
    <w:bookmarkEnd w:id="111"/>
    <w:bookmarkStart w:id="112" w:name="ref-robinson2018groundwater"/>
    <w:p>
      <w:pPr>
        <w:pStyle w:val="Bibliography"/>
      </w:pPr>
      <w:r>
        <w:t xml:space="preserve">Robinson, C. E., P. Xin, I. R. Santos, M. A. Charette, L. Li, and D. A. Barry. 2018. Groundwater dynamics in subterranean estuaries of coastal unconfined aquifers: Controls on submarine groundwater discharge and chemical inputs to the ocean. Advances in Water Resources 115:315–331.</w:t>
      </w:r>
    </w:p>
    <w:bookmarkEnd w:id="112"/>
    <w:bookmarkStart w:id="113" w:name="ref-ryther1971nitrogen"/>
    <w:p>
      <w:pPr>
        <w:pStyle w:val="Bibliography"/>
      </w:pPr>
      <w:r>
        <w:t xml:space="preserve">Ryther, J. H., and W. M. Dunstan. 1971. Nitrogen, phosphorus, and eutrophication in the coastal marine environment. Science 171:1008–1013.</w:t>
      </w:r>
    </w:p>
    <w:bookmarkEnd w:id="113"/>
    <w:bookmarkStart w:id="114"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114"/>
    <w:bookmarkStart w:id="115" w:name="ref-soil2017web"/>
    <w:p>
      <w:pPr>
        <w:pStyle w:val="Bibliography"/>
      </w:pPr>
      <w:r>
        <w:t xml:space="preserve">Soil Survey Staff, U. 2017. Web soil survey.</w:t>
      </w:r>
    </w:p>
    <w:bookmarkEnd w:id="115"/>
    <w:bookmarkStart w:id="117" w:name="ref-ggplot2"/>
    <w:p>
      <w:pPr>
        <w:pStyle w:val="Bibliography"/>
      </w:pPr>
      <w:r>
        <w:t xml:space="preserve">Wickham, H. 2016.</w:t>
      </w:r>
      <w:r>
        <w:t xml:space="preserve"> </w:t>
      </w:r>
      <w:hyperlink r:id="rId116">
        <w:r>
          <w:rPr>
            <w:rStyle w:val="Hyperlink"/>
          </w:rPr>
          <w:t xml:space="preserve">ggplot2: Elegant graphics for data analysis</w:t>
        </w:r>
      </w:hyperlink>
      <w:r>
        <w:t xml:space="preserve">. Springer-Verlag New York.</w:t>
      </w:r>
    </w:p>
    <w:bookmarkEnd w:id="117"/>
    <w:bookmarkStart w:id="118" w:name="ref-knitr3"/>
    <w:p>
      <w:pPr>
        <w:pStyle w:val="Bibliography"/>
      </w:pPr>
      <w:r>
        <w:t xml:space="preserve">Xie, Y. 2014. Knitr: A comprehensive tool for reproducible research in</w:t>
      </w:r>
      <w:r>
        <w:t xml:space="preserve"> </w:t>
      </w:r>
      <w:r>
        <w:t xml:space="preserve">R</w:t>
      </w:r>
      <w:r>
        <w:t xml:space="preserve">.</w:t>
      </w:r>
      <w:r>
        <w:t xml:space="preserve"> </w:t>
      </w:r>
      <w:r>
        <w:rPr>
          <w:iCs/>
          <w:i/>
        </w:rPr>
        <w:t xml:space="preserve">in</w:t>
      </w:r>
      <w:r>
        <w:t xml:space="preserve"> </w:t>
      </w:r>
      <w:r>
        <w:t xml:space="preserve">V. Stodden, F. Leisch, and R. D. Peng, editors. Implementing reproducible computational research. Chapman; Hall/CRC.</w:t>
      </w:r>
    </w:p>
    <w:bookmarkEnd w:id="118"/>
    <w:bookmarkStart w:id="120" w:name="ref-knitr2"/>
    <w:p>
      <w:pPr>
        <w:pStyle w:val="Bibliography"/>
      </w:pPr>
      <w:r>
        <w:t xml:space="preserve">Xie, Y. 2015.</w:t>
      </w:r>
      <w:r>
        <w:t xml:space="preserve"> </w:t>
      </w:r>
      <w:hyperlink r:id="rId119">
        <w:r>
          <w:rPr>
            <w:rStyle w:val="Hyperlink"/>
          </w:rPr>
          <w:t xml:space="preserve">Dynamic documents with</w:t>
        </w:r>
        <w:r>
          <w:rPr>
            <w:rStyle w:val="Hyperlink"/>
          </w:rPr>
          <w:t xml:space="preserve"> </w:t>
        </w:r>
        <w:r>
          <w:rPr>
            <w:rStyle w:val="Hyperlink"/>
          </w:rPr>
          <w:t xml:space="preserve">R</w:t>
        </w:r>
        <w:r>
          <w:rPr>
            <w:rStyle w:val="Hyperlink"/>
          </w:rPr>
          <w:t xml:space="preserve"> </w:t>
        </w:r>
        <w:r>
          <w:rPr>
            <w:rStyle w:val="Hyperlink"/>
          </w:rPr>
          <w:t xml:space="preserve">and knitr</w:t>
        </w:r>
      </w:hyperlink>
      <w:r>
        <w:t xml:space="preserve">. 2nd edition. Chapman; Hall/CRC, Boca Raton, Florida.</w:t>
      </w:r>
    </w:p>
    <w:bookmarkEnd w:id="120"/>
    <w:bookmarkStart w:id="121" w:name="ref-knitr1"/>
    <w:p>
      <w:pPr>
        <w:pStyle w:val="Bibliography"/>
      </w:pPr>
      <w:r>
        <w:t xml:space="preserve">Xie, Y. 2023.</w:t>
      </w:r>
      <w:r>
        <w:t xml:space="preserve"> </w:t>
      </w:r>
      <w:hyperlink r:id="rId119">
        <w:r>
          <w:rPr>
            <w:rStyle w:val="Hyperlink"/>
          </w:rPr>
          <w:t xml:space="preserve">Knitr: A general-purpose package for dynamic report generation in r</w:t>
        </w:r>
      </w:hyperlink>
      <w:r>
        <w:t xml:space="preserve">.</w:t>
      </w:r>
    </w:p>
    <w:bookmarkEnd w:id="121"/>
    <w:bookmarkEnd w:id="122"/>
    <w:bookmarkEnd w:id="123"/>
    <w:sectPr w:rsidR="005D4E11" w:rsidRPr="00A00D22" w:rsidSect="00C23C10">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846034" w:numId="1">
    <w:abstractNumId w:val="2"/>
  </w:num>
  <w:num w16cid:durableId="417680219" w:numId="2">
    <w:abstractNumId w:val="0"/>
  </w:num>
  <w:num w16cid:durableId="1204486658" w:numId="3">
    <w:abstractNumId w:val="1"/>
  </w:num>
  <w:num w16cid:durableId="2070571556" w:numId="4">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 w:styleId="UnresolvedMention" w:type="character">
    <w:name w:val="Unresolved Mention"/>
    <w:basedOn w:val="DefaultParagraphFont"/>
    <w:uiPriority w:val="99"/>
    <w:semiHidden/>
    <w:unhideWhenUsed/>
    <w:rsid w:val="00A00D22"/>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75" Target="https://CRAN.R-project.org/package=FedData" TargetMode="External" /><Relationship Type="http://schemas.openxmlformats.org/officeDocument/2006/relationships/hyperlink" Id="rId98" Target="https://CRAN.R-project.org/package=here" TargetMode="External" /><Relationship Type="http://schemas.openxmlformats.org/officeDocument/2006/relationships/hyperlink" Id="rId86" Target="https://CRAN.R-project.org/package=raster" TargetMode="External" /><Relationship Type="http://schemas.openxmlformats.org/officeDocument/2006/relationships/hyperlink" Id="rId88" Target="https://CRAN.R-project.org/package=terra" TargetMode="External" /><Relationship Type="http://schemas.openxmlformats.org/officeDocument/2006/relationships/hyperlink" Id="rId107" Target="https://doi.org/10.32614/RJ-2016-061" TargetMode="External" /><Relationship Type="http://schemas.openxmlformats.org/officeDocument/2006/relationships/hyperlink" Id="rId103" Target="https://doi.org/10.32614/RJ-2018-009" TargetMode="External" /><Relationship Type="http://schemas.openxmlformats.org/officeDocument/2006/relationships/hyperlink" Id="rId84" Target="https://doi.org/10.5281/zenodo.6572471" TargetMode="External" /><Relationship Type="http://schemas.openxmlformats.org/officeDocument/2006/relationships/hyperlink" Id="rId24" Target="https://doi.org/10.5281/zenodo.8325360" TargetMode="External" /><Relationship Type="http://schemas.openxmlformats.org/officeDocument/2006/relationships/hyperlink" Id="rId116" Target="https://ggplot2.tidyverse.org" TargetMode="External" /><Relationship Type="http://schemas.openxmlformats.org/officeDocument/2006/relationships/hyperlink" Id="rId22" Target="https://github.com/USEPA/nsink" TargetMode="External" /><Relationship Type="http://schemas.openxmlformats.org/officeDocument/2006/relationships/hyperlink" Id="rId23" Target="https://github.com/USEPA/nsink_manuscript/" TargetMode="External" /><Relationship Type="http://schemas.openxmlformats.org/officeDocument/2006/relationships/hyperlink" Id="rId25" Target="https://github.com/USEPA/ri_wq_trends/blob/master/sessioninfo.txt" TargetMode="External" /><Relationship Type="http://schemas.openxmlformats.org/officeDocument/2006/relationships/hyperlink" Id="rId27" Target="https://github.com/usepa/nsink" TargetMode="External" /><Relationship Type="http://schemas.openxmlformats.org/officeDocument/2006/relationships/hyperlink" Id="rId65" Target="https://longislandsoundstudy.net/2022-research-project-descriptions/" TargetMode="External" /><Relationship Type="http://schemas.openxmlformats.org/officeDocument/2006/relationships/hyperlink" Id="rId105" Target="https://r-spatial.org/book/" TargetMode="External" /><Relationship Type="http://schemas.openxmlformats.org/officeDocument/2006/relationships/hyperlink" Id="rId21" Target="https://uconnclear.maps.arcgis.com/apps/MapSeries/index.html?appid=e96b01502f5b4aeda64aacf0cb5234c7&amp;folderid=dde199a7cf674845a83b43a3011b1d31" TargetMode="External" /><Relationship Type="http://schemas.openxmlformats.org/officeDocument/2006/relationships/hyperlink" Id="rId109" Target="https://www.R-project.org/" TargetMode="External" /><Relationship Type="http://schemas.openxmlformats.org/officeDocument/2006/relationships/hyperlink" Id="rId81" Target="https://www.jstatsoft.org/v40/i03/" TargetMode="External" /><Relationship Type="http://schemas.openxmlformats.org/officeDocument/2006/relationships/hyperlink" Id="rId119" Target="https://yihui.org/knitr/"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FedData" TargetMode="External" /><Relationship Type="http://schemas.openxmlformats.org/officeDocument/2006/relationships/hyperlink" Id="rId98" Target="https://CRAN.R-project.org/package=here" TargetMode="External" /><Relationship Type="http://schemas.openxmlformats.org/officeDocument/2006/relationships/hyperlink" Id="rId86" Target="https://CRAN.R-project.org/package=raster" TargetMode="External" /><Relationship Type="http://schemas.openxmlformats.org/officeDocument/2006/relationships/hyperlink" Id="rId88" Target="https://CRAN.R-project.org/package=terra" TargetMode="External" /><Relationship Type="http://schemas.openxmlformats.org/officeDocument/2006/relationships/hyperlink" Id="rId107" Target="https://doi.org/10.32614/RJ-2016-061" TargetMode="External" /><Relationship Type="http://schemas.openxmlformats.org/officeDocument/2006/relationships/hyperlink" Id="rId103" Target="https://doi.org/10.32614/RJ-2018-009" TargetMode="External" /><Relationship Type="http://schemas.openxmlformats.org/officeDocument/2006/relationships/hyperlink" Id="rId84" Target="https://doi.org/10.5281/zenodo.6572471" TargetMode="External" /><Relationship Type="http://schemas.openxmlformats.org/officeDocument/2006/relationships/hyperlink" Id="rId24" Target="https://doi.org/10.5281/zenodo.8325360" TargetMode="External" /><Relationship Type="http://schemas.openxmlformats.org/officeDocument/2006/relationships/hyperlink" Id="rId116" Target="https://ggplot2.tidyverse.org" TargetMode="External" /><Relationship Type="http://schemas.openxmlformats.org/officeDocument/2006/relationships/hyperlink" Id="rId22" Target="https://github.com/USEPA/nsink" TargetMode="External" /><Relationship Type="http://schemas.openxmlformats.org/officeDocument/2006/relationships/hyperlink" Id="rId23" Target="https://github.com/USEPA/nsink_manuscript/" TargetMode="External" /><Relationship Type="http://schemas.openxmlformats.org/officeDocument/2006/relationships/hyperlink" Id="rId25" Target="https://github.com/USEPA/ri_wq_trends/blob/master/sessioninfo.txt" TargetMode="External" /><Relationship Type="http://schemas.openxmlformats.org/officeDocument/2006/relationships/hyperlink" Id="rId27" Target="https://github.com/usepa/nsink" TargetMode="External" /><Relationship Type="http://schemas.openxmlformats.org/officeDocument/2006/relationships/hyperlink" Id="rId65" Target="https://longislandsoundstudy.net/2022-research-project-descriptions/" TargetMode="External" /><Relationship Type="http://schemas.openxmlformats.org/officeDocument/2006/relationships/hyperlink" Id="rId105" Target="https://r-spatial.org/book/" TargetMode="External" /><Relationship Type="http://schemas.openxmlformats.org/officeDocument/2006/relationships/hyperlink" Id="rId21" Target="https://uconnclear.maps.arcgis.com/apps/MapSeries/index.html?appid=e96b01502f5b4aeda64aacf0cb5234c7&amp;folderid=dde199a7cf674845a83b43a3011b1d31" TargetMode="External" /><Relationship Type="http://schemas.openxmlformats.org/officeDocument/2006/relationships/hyperlink" Id="rId109" Target="https://www.R-project.org/" TargetMode="External" /><Relationship Type="http://schemas.openxmlformats.org/officeDocument/2006/relationships/hyperlink" Id="rId81" Target="https://www.jstatsoft.org/v40/i03/" TargetMode="External" /><Relationship Type="http://schemas.openxmlformats.org/officeDocument/2006/relationships/hyperlink" Id="rId119" Target="https://yihui.org/knitr/"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the R package, nsink</dc:title>
  <dc:creator>Dorothy Q Kellogg1*, Jeffrey W. Hollister2, Chester L. Arnold3, Arthur J. Gold1, Emily H. Wilson3, Cary B. Chadwick3, David W. Dickson3, Qian Lei-Parent3, Kenneth J. Forshay4; 1 Department of Natural Resources Science, University of Rhode Island, Kingston, RI 02881, USA; 2 Office Of Research and Development, Atlantic Coastal Environmental Sciences Division, US Environmental Protection Agency, Narragansett, RI 02882, USA; 3 Center for Land Use Education and Research, University of Connecticut, Haddam, CT 06438, USA; 4 Office Of Research and Development, Groundwater Characterization and Remediation Division,US Environmental Protection Agency, Ada, OK 74820, USA; *Corresponding Author: Dorothy Q Kellogg Department of Natural Resources Science University of Rhode Island, Kingston, RI 02881, USA Email address: qkellogg@uri.edu</dc:creator>
  <cp:keywords/>
  <dcterms:created xsi:type="dcterms:W3CDTF">2024-03-05T22:47:59Z</dcterms:created>
  <dcterms:modified xsi:type="dcterms:W3CDTF">2024-03-05T22:47:59Z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Excess nitrogen (N) loading to coastal ecosystems impairs estuarine water quality. Land management decisions made within estuarine watersheds have a direct impact on downstream N delivery. Natural features within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Methods: The N-Sink approach uses widely available GIS data to identify landscape sinks within HUC-12 (or larger) catchments, estimate their N removal potential and map the effect of those sinks on N movement through the catchment. Static maps are produced to visualize N removal efficiency, transport and delivery, the latter in the form of an index. The R package nsink was developed to facilitate data acquisition, processing and visualization. Results: The R package creates static maps for a specific HUC-12 , or users can visit the University of Connecticut website to explore previously mapped areas. Users can also investigate specific flowpaths interactively by clicking on any location within the catchment. A flowpath is generated, with a table describing N removal along each segment. We describe the motivation behind developing nsink, discuss implementation in R, and present two use case examples. nsink is available from https://github.com/USEPA/nsink. Conclusions: N-Sink is a deccision support tool and created for local decision-makers to facilitate better understanding of the relationship between land use and downstream N delivery. Local decision-makers that have prioritized N mitigation in their long-term planning can use nsink to better understand the potential impact of proposed development projects and zoning variances. Similarly, land trusts and other NGOs interested in N mitigation can use nsink to identify high priority areas for acquisition or restoration.</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