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pTITAN2</w:t>
      </w:r>
    </w:p>
    <w:p>
      <w:pPr>
        <w:pStyle w:val="Subtitle"/>
      </w:pPr>
      <w:r>
        <w:t xml:space="preserve">Permutation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Labels</w:t>
      </w:r>
      <w:r>
        <w:t xml:space="preserve"> </w:t>
      </w:r>
      <w:r>
        <w:t xml:space="preserve">and</w:t>
      </w:r>
      <w:r>
        <w:t xml:space="preserve"> </w:t>
      </w:r>
      <w:r>
        <w:t xml:space="preserve">Threshold</w:t>
      </w:r>
      <w:r>
        <w:t xml:space="preserve"> </w:t>
      </w:r>
      <w:r>
        <w:t xml:space="preserve">Indicator</w:t>
      </w:r>
      <w:r>
        <w:t xml:space="preserve"> </w:t>
      </w:r>
      <w:r>
        <w:t xml:space="preserve">Taxa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Stephanie</w:t>
      </w:r>
      <w:r>
        <w:t xml:space="preserve"> </w:t>
      </w:r>
      <w:r>
        <w:t xml:space="preserve">Figary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Peter</w:t>
      </w:r>
      <w:r>
        <w:t xml:space="preserve"> </w:t>
      </w:r>
      <w:r>
        <w:t xml:space="preserve">E.</w:t>
      </w:r>
      <w:r>
        <w:t xml:space="preserve"> </w:t>
      </w:r>
      <w:r>
        <w:t xml:space="preserve">DeWitt</w:t>
      </w:r>
      <w:r>
        <w:rPr>
          <w:vertAlign w:val="superscript"/>
        </w:rPr>
        <w:t xml:space="preserve">2,3,4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Naomi</w:t>
      </w:r>
      <w:r>
        <w:t xml:space="preserve"> </w:t>
      </w:r>
      <w:r>
        <w:t xml:space="preserve">Detenbeck</w:t>
      </w:r>
      <w:r>
        <w:rPr>
          <w:vertAlign w:val="superscript"/>
        </w:rPr>
        <w:t xml:space="preserve">5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(formerly) ORISE participant at U.S. Environmental Protection Agency, Atlantic Coastal Environmental Sciences Division, 27 Tarzwell Drive, Narragansett, RI, 02882, USA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Section of Informatics and Data Science, Department of Pediatrics, University of Colorado School of Medicine, Aurora Colorado, USA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National Renewable Energy Laboratory, Golden Colorado, USA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(formerly) Neptune and Company, Inc. Lakewood Colorado, USA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U.S. Environmental Protection Agency, Atlantic Coastal Environmental Sciences Division, 27 Tarzwell Drive, Narragansett, RI 02882, USA</w:t>
      </w:r>
    </w:p>
    <w:p>
      <w:pPr>
        <w:pStyle w:val="BodyText"/>
      </w:pPr>
      <w:r>
        <w:rPr>
          <w:bCs/>
          <w:b/>
        </w:rPr>
        <w:t xml:space="preserve">Abstract</w:t>
      </w:r>
    </w:p>
    <w:p>
      <w:pPr>
        <w:pStyle w:val="BodyText"/>
      </w:pPr>
      <w:r>
        <w:t xml:space="preserve">Taxa Indicator Threshold ANalysis (TITAN) was developed to identify</w:t>
      </w:r>
      <w:r>
        <w:t xml:space="preserve"> </w:t>
      </w:r>
      <w:r>
        <w:t xml:space="preserve">thresholds along environmental gradients where rapid changes in taxa</w:t>
      </w:r>
      <w:r>
        <w:t xml:space="preserve"> </w:t>
      </w:r>
      <w:r>
        <w:t xml:space="preserve">frequency and relative abundance are observed. TITAN determines separate</w:t>
      </w:r>
      <w:r>
        <w:t xml:space="preserve"> </w:t>
      </w:r>
      <w:r>
        <w:t xml:space="preserve">change-points for increasing and decreasing taxa in aggregate, as well as</w:t>
      </w:r>
      <w:r>
        <w:t xml:space="preserve"> </w:t>
      </w:r>
      <w:r>
        <w:t xml:space="preserve">change-points for individual taxa, with associated confidence intervals</w:t>
      </w:r>
      <w:r>
        <w:t xml:space="preserve"> </w:t>
      </w:r>
      <w:r>
        <w:t xml:space="preserve">generated using bootstrapping. However, if TITAN is applied to different</w:t>
      </w:r>
      <w:r>
        <w:t xml:space="preserve"> </w:t>
      </w:r>
      <w:r>
        <w:t xml:space="preserve">classes of observations, additional analyses besides using</w:t>
      </w:r>
      <w:r>
        <w:t xml:space="preserve"> </w:t>
      </w:r>
      <w:r>
        <w:t xml:space="preserve">non-overlapping confidence intervals are needed to establish whether</w:t>
      </w:r>
      <w:r>
        <w:t xml:space="preserve"> </w:t>
      </w:r>
      <w:r>
        <w:t xml:space="preserve">change-points differ between treatments or groups because non-overlapping</w:t>
      </w:r>
      <w:r>
        <w:t xml:space="preserve"> </w:t>
      </w:r>
      <w:r>
        <w:t xml:space="preserve">confidence intervals can indicate significant differences but</w:t>
      </w:r>
      <w:r>
        <w:t xml:space="preserve"> </w:t>
      </w:r>
      <w:r>
        <w:t xml:space="preserve">overlapping confidence intervals do not necessarily mean the null</w:t>
      </w:r>
      <w:r>
        <w:t xml:space="preserve"> </w:t>
      </w:r>
      <w:r>
        <w:t xml:space="preserve">hypothesis cannot be rejected. To address this, we present a new R</w:t>
      </w:r>
      <w:r>
        <w:t xml:space="preserve"> </w:t>
      </w:r>
      <w:r>
        <w:t xml:space="preserve">package, pTITAN2, which is an extension to the existing TITAN2 package.</w:t>
      </w:r>
      <w:r>
        <w:t xml:space="preserve"> </w:t>
      </w:r>
      <w:r>
        <w:t xml:space="preserve">The pTITAN2 package was developed to enable comparisons of TITAN output</w:t>
      </w:r>
      <w:r>
        <w:t xml:space="preserve"> </w:t>
      </w:r>
      <w:r>
        <w:t xml:space="preserve">between treatments by permutating the observed data between treatments</w:t>
      </w:r>
      <w:r>
        <w:t xml:space="preserve"> </w:t>
      </w:r>
      <w:r>
        <w:t xml:space="preserve">and rerunning TITAN on the permuted data. The output from pTITAN2 can be</w:t>
      </w:r>
      <w:r>
        <w:t xml:space="preserve"> </w:t>
      </w:r>
      <w:r>
        <w:t xml:space="preserve">used to perform the appropriate statistical tests and determine</w:t>
      </w:r>
      <w:r>
        <w:t xml:space="preserve"> </w:t>
      </w:r>
      <w:r>
        <w:t xml:space="preserve">statistical differences without using overlapping confidence intervals.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TITAN, permutations, thresholds, community composition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Community ecologists are interested in understanding the structure and</w:t>
      </w:r>
      <w:r>
        <w:t xml:space="preserve"> </w:t>
      </w:r>
      <w:r>
        <w:t xml:space="preserve">interactions of multiple species in a given area or habitat type and</w:t>
      </w:r>
      <w:r>
        <w:t xml:space="preserve"> </w:t>
      </w:r>
      <w:r>
        <w:t xml:space="preserve">many are interested in understanding how communities change in response</w:t>
      </w:r>
      <w:r>
        <w:t xml:space="preserve"> </w:t>
      </w:r>
      <w:r>
        <w:t xml:space="preserve">to changing environmental or anthropogenic gradients. One method a</w:t>
      </w:r>
      <w:r>
        <w:t xml:space="preserve"> </w:t>
      </w:r>
      <w:r>
        <w:t xml:space="preserve">community ecologist can use for understanding to detect changes or</w:t>
      </w:r>
      <w:r>
        <w:t xml:space="preserve"> </w:t>
      </w:r>
      <w:r>
        <w:t xml:space="preserve">ecological thresholds across environmental gradients is Taxa Indicator</w:t>
      </w:r>
      <w:r>
        <w:t xml:space="preserve"> </w:t>
      </w:r>
      <w:r>
        <w:t xml:space="preserve">Threshold ANalysis (TITAN)</w:t>
      </w:r>
      <w:r>
        <w:t xml:space="preserve"> </w:t>
      </w:r>
      <w:r>
        <w:t xml:space="preserve">(Matthew E. Baker and King 2010)</w:t>
      </w:r>
      <w:r>
        <w:t xml:space="preserve">. TITAN is useful for</w:t>
      </w:r>
      <w:r>
        <w:t xml:space="preserve"> </w:t>
      </w:r>
      <w:r>
        <w:t xml:space="preserve">determining the impacts of environmental or anthropogenic gradients such</w:t>
      </w:r>
      <w:r>
        <w:t xml:space="preserve"> </w:t>
      </w:r>
      <w:r>
        <w:t xml:space="preserve">as upstream impervious cover (IC) in a watershed in community ecology</w:t>
      </w:r>
      <w:r>
        <w:t xml:space="preserve"> </w:t>
      </w:r>
      <w:r>
        <w:t xml:space="preserve">studies because it both analyzes each individual taxa response and the</w:t>
      </w:r>
      <w:r>
        <w:t xml:space="preserve"> </w:t>
      </w:r>
      <w:r>
        <w:t xml:space="preserve">community as a whole in the same analysis. Additionally, unlike other</w:t>
      </w:r>
      <w:r>
        <w:t xml:space="preserve"> </w:t>
      </w:r>
      <w:r>
        <w:t xml:space="preserve">community ecology methods, TITAN separates the taxa that increase across</w:t>
      </w:r>
      <w:r>
        <w:t xml:space="preserve"> </w:t>
      </w:r>
      <w:r>
        <w:t xml:space="preserve">an environmental gradient from those that decrease to provide a more</w:t>
      </w:r>
      <w:r>
        <w:t xml:space="preserve"> </w:t>
      </w:r>
      <w:r>
        <w:t xml:space="preserve">complete picture of the community response to that gradient.</w:t>
      </w:r>
    </w:p>
    <w:p>
      <w:pPr>
        <w:pStyle w:val="BodyText"/>
      </w:pPr>
      <w:r>
        <w:t xml:space="preserve">As an overview, TITAN methods use change point</w:t>
      </w:r>
      <w:r>
        <w:t xml:space="preserve"> </w:t>
      </w:r>
      <w:r>
        <w:t xml:space="preserve">(King and Richardson 2003; Qian, King, and Richardson 2003)</w:t>
      </w:r>
      <w:r>
        <w:t xml:space="preserve"> </w:t>
      </w:r>
      <w:r>
        <w:t xml:space="preserve">and indicator species analysis</w:t>
      </w:r>
      <w:r>
        <w:t xml:space="preserve"> </w:t>
      </w:r>
      <w:r>
        <w:t xml:space="preserve">(Dufrêne and Legendre 1997)</w:t>
      </w:r>
      <w:r>
        <w:t xml:space="preserve"> </w:t>
      </w:r>
      <w:r>
        <w:t xml:space="preserve">to determine the point along an environmental gradient,</w:t>
      </w:r>
      <w:r>
        <w:t xml:space="preserve"> </w:t>
      </w:r>
      <w:r>
        <w:t xml:space="preserve">such as percent IC in the upstream watershed area, where individual taxa have</w:t>
      </w:r>
      <w:r>
        <w:t xml:space="preserve"> </w:t>
      </w:r>
      <w:r>
        <w:t xml:space="preserve">the largest change in occurrence frequency and abundance, and then uses</w:t>
      </w:r>
      <w:r>
        <w:t xml:space="preserve"> </w:t>
      </w:r>
      <w:r>
        <w:t xml:space="preserve">the individual taxa results to determine synchronous areas of taxa</w:t>
      </w:r>
      <w:r>
        <w:t xml:space="preserve"> </w:t>
      </w:r>
      <w:r>
        <w:t xml:space="preserve">change at the community level</w:t>
      </w:r>
      <w:r>
        <w:t xml:space="preserve"> </w:t>
      </w:r>
      <w:r>
        <w:t xml:space="preserve">(Matthew E. Baker and King 2010, 2013)</w:t>
      </w:r>
      <w:r>
        <w:t xml:space="preserve">. Individual</w:t>
      </w:r>
      <w:r>
        <w:t xml:space="preserve"> </w:t>
      </w:r>
      <w:r>
        <w:t xml:space="preserve">taxa change points are determined by calculating the taxa’s indicator</w:t>
      </w:r>
      <w:r>
        <w:t xml:space="preserve"> </w:t>
      </w:r>
      <w:r>
        <w:t xml:space="preserve">(IndVal) score along the environmental gradient and assigning the taxa</w:t>
      </w:r>
      <w:r>
        <w:t xml:space="preserve"> </w:t>
      </w:r>
      <w:r>
        <w:t xml:space="preserve">as either increasing (z+) or declining (z-) in response to an increase</w:t>
      </w:r>
      <w:r>
        <w:t xml:space="preserve"> </w:t>
      </w:r>
      <w:r>
        <w:t xml:space="preserve">in the environmental gradient variable. Permutations of data in TITAN</w:t>
      </w:r>
      <w:r>
        <w:t xml:space="preserve"> </w:t>
      </w:r>
      <w:r>
        <w:t xml:space="preserve">runs are used to calculate the likelihood of random data generating a</w:t>
      </w:r>
      <w:r>
        <w:t xml:space="preserve"> </w:t>
      </w:r>
      <w:r>
        <w:t xml:space="preserve">larger IndVal score than the observed data and to standardize the taxa</w:t>
      </w:r>
      <w:r>
        <w:t xml:space="preserve"> </w:t>
      </w:r>
      <w:r>
        <w:t xml:space="preserve">response to the environmental gradient by calculating the taxa z-scores</w:t>
      </w:r>
      <w:r>
        <w:t xml:space="preserve"> </w:t>
      </w:r>
      <w:r>
        <w:t xml:space="preserve">using permuted distributions. Taxa z-scores are added together for</w:t>
      </w:r>
      <w:r>
        <w:t xml:space="preserve"> </w:t>
      </w:r>
      <w:r>
        <w:t xml:space="preserve">increasing (z+) and declining (z-) taxa along the environmental gradient</w:t>
      </w:r>
      <w:r>
        <w:t xml:space="preserve"> </w:t>
      </w:r>
      <w:r>
        <w:t xml:space="preserve">and the point with the highest sum(z-) and sum(z+) score is defined as</w:t>
      </w:r>
      <w:r>
        <w:t xml:space="preserve"> </w:t>
      </w:r>
      <w:r>
        <w:t xml:space="preserve">the community change point. Next, bootstrapping of observed data is used</w:t>
      </w:r>
      <w:r>
        <w:t xml:space="preserve"> </w:t>
      </w:r>
      <w:r>
        <w:t xml:space="preserve">to calculate percentiles around the community and individual taxa</w:t>
      </w:r>
      <w:r>
        <w:t xml:space="preserve"> </w:t>
      </w:r>
      <w:r>
        <w:t xml:space="preserve">z-scores, and to determine if individual taxon responses are pure and</w:t>
      </w:r>
      <w:r>
        <w:t xml:space="preserve"> </w:t>
      </w:r>
      <w:r>
        <w:t xml:space="preserve">reliable. Purity is a measure of the proportion of bootstrap results</w:t>
      </w:r>
      <w:r>
        <w:t xml:space="preserve"> </w:t>
      </w:r>
      <w:r>
        <w:t xml:space="preserve">that match the taxa’s observed response group as either increasing or</w:t>
      </w:r>
      <w:r>
        <w:t xml:space="preserve"> </w:t>
      </w:r>
      <w:r>
        <w:t xml:space="preserve">declining. Reliability is the proportion of bootstraps with a low</w:t>
      </w:r>
      <w:r>
        <w:t xml:space="preserve"> </w:t>
      </w:r>
      <w:r>
        <w:t xml:space="preserve">probability (p &lt; 0.01) of random data having a higher IndVal</w:t>
      </w:r>
      <w:r>
        <w:t xml:space="preserve"> </w:t>
      </w:r>
      <w:r>
        <w:t xml:space="preserve">score than the bootstrapped observed data. Community change points are</w:t>
      </w:r>
      <w:r>
        <w:t xml:space="preserve"> </w:t>
      </w:r>
      <w:r>
        <w:t xml:space="preserve">also calculated after selecting (filtering) only the taxa that exceeded</w:t>
      </w:r>
      <w:r>
        <w:t xml:space="preserve"> </w:t>
      </w:r>
      <w:r>
        <w:t xml:space="preserve">purity and reliability requirements for the increasing (fsum(z+)) and</w:t>
      </w:r>
      <w:r>
        <w:t xml:space="preserve"> </w:t>
      </w:r>
      <w:r>
        <w:t xml:space="preserve">declining (fsum(z-)) change points. Narrow peaks around the maximum</w:t>
      </w:r>
      <w:r>
        <w:t xml:space="preserve"> </w:t>
      </w:r>
      <w:r>
        <w:t xml:space="preserve">sum(z) or fsum(z) (filtered) scores indicate areas with synchronous</w:t>
      </w:r>
      <w:r>
        <w:t xml:space="preserve"> </w:t>
      </w:r>
      <w:r>
        <w:t xml:space="preserve">change in individual taxa frequency and abundance and may indicate an</w:t>
      </w:r>
      <w:r>
        <w:t xml:space="preserve"> </w:t>
      </w:r>
      <w:r>
        <w:t xml:space="preserve">ecological threshold along the environmental gradient being evaluated.</w:t>
      </w:r>
      <w:r>
        <w:t xml:space="preserve"> </w:t>
      </w:r>
      <w:r>
        <w:t xml:space="preserve">More information on TITAN methods can be found in</w:t>
      </w:r>
      <w:r>
        <w:t xml:space="preserve"> </w:t>
      </w:r>
      <w:r>
        <w:t xml:space="preserve">Matthew E. Baker and King (2013)</w:t>
      </w:r>
      <w:r>
        <w:t xml:space="preserve"> </w:t>
      </w:r>
      <w:r>
        <w:t xml:space="preserve">or in the TITAN R package, TITAN2,</w:t>
      </w:r>
      <w:r>
        <w:t xml:space="preserve"> </w:t>
      </w:r>
      <w:r>
        <w:t xml:space="preserve">(Matthew E. Baker, King, and Kahle 2020)</w:t>
      </w:r>
      <w:r>
        <w:t xml:space="preserve">.</w:t>
      </w:r>
    </w:p>
    <w:p>
      <w:pPr>
        <w:pStyle w:val="BodyText"/>
      </w:pPr>
      <w:r>
        <w:t xml:space="preserve">While TITAN is a powerful tool for community ecologist it requires</w:t>
      </w:r>
      <w:r>
        <w:t xml:space="preserve"> </w:t>
      </w:r>
      <w:r>
        <w:t xml:space="preserve">additional analysis for comparing results from different regions, groups</w:t>
      </w:r>
      <w:r>
        <w:t xml:space="preserve"> </w:t>
      </w:r>
      <w:r>
        <w:t xml:space="preserve">or treatments. Previously, researchers have used non-overlapping</w:t>
      </w:r>
      <w:r>
        <w:t xml:space="preserve"> </w:t>
      </w:r>
      <w:r>
        <w:t xml:space="preserve">confidence intervals for change-points from TITAN output to indicate</w:t>
      </w:r>
      <w:r>
        <w:t xml:space="preserve"> </w:t>
      </w:r>
      <w:r>
        <w:t xml:space="preserve">significant differences between groups</w:t>
      </w:r>
      <w:r>
        <w:t xml:space="preserve"> </w:t>
      </w:r>
      <w:r>
        <w:t xml:space="preserve">(King et al. 2011)</w:t>
      </w:r>
      <w:r>
        <w:t xml:space="preserve">. 2011). However,</w:t>
      </w:r>
      <w:r>
        <w:t xml:space="preserve"> </w:t>
      </w:r>
      <w:r>
        <w:t xml:space="preserve">although non-overlapping confidence intervals can indicate significant</w:t>
      </w:r>
      <w:r>
        <w:t xml:space="preserve"> </w:t>
      </w:r>
      <w:r>
        <w:t xml:space="preserve">differences, overlapping confidence intervals do not necessarily mean</w:t>
      </w:r>
      <w:r>
        <w:t xml:space="preserve"> </w:t>
      </w:r>
      <w:r>
        <w:t xml:space="preserve">the null hypothesis cannot be rejected</w:t>
      </w:r>
      <w:r>
        <w:t xml:space="preserve"> </w:t>
      </w:r>
      <w:r>
        <w:t xml:space="preserve">(Greenland et al. 2016; Schenker and Gentleman 2001)</w:t>
      </w:r>
      <w:r>
        <w:t xml:space="preserve">.</w:t>
      </w:r>
    </w:p>
    <w:p>
      <w:pPr>
        <w:pStyle w:val="BodyText"/>
      </w:pPr>
      <w:r>
        <w:t xml:space="preserve">We developed a new R package, pTITAN2, as an extension of the existing</w:t>
      </w:r>
      <w:r>
        <w:t xml:space="preserve"> </w:t>
      </w:r>
      <w:r>
        <w:t xml:space="preserve">TITAN2 R package</w:t>
      </w:r>
      <w:r>
        <w:t xml:space="preserve"> </w:t>
      </w:r>
      <w:r>
        <w:t xml:space="preserve">(Matthew E. Baker, King, and Kahle 2020)</w:t>
      </w:r>
      <w:r>
        <w:t xml:space="preserve">. The goal of pTITAN2 is to enable</w:t>
      </w:r>
      <w:r>
        <w:t xml:space="preserve"> </w:t>
      </w:r>
      <w:r>
        <w:t xml:space="preserve">comparisons of TITAN output between treatments by permuting the</w:t>
      </w:r>
      <w:r>
        <w:t xml:space="preserve"> </w:t>
      </w:r>
      <w:r>
        <w:t xml:space="preserve">observed data between treatments and rerunning TITAN on the permuted</w:t>
      </w:r>
      <w:r>
        <w:t xml:space="preserve"> </w:t>
      </w:r>
      <w:r>
        <w:t xml:space="preserve">data. There are some limitations on the permutations, including (1) a</w:t>
      </w:r>
      <w:r>
        <w:t xml:space="preserve"> </w:t>
      </w:r>
      <w:r>
        <w:t xml:space="preserve">sampling site cannot occur in a category more than once, the same</w:t>
      </w:r>
      <w:r>
        <w:t xml:space="preserve"> </w:t>
      </w:r>
      <w:r>
        <w:t xml:space="preserve">limitation as in the original TITAN runs and (2) the original sample</w:t>
      </w:r>
      <w:r>
        <w:t xml:space="preserve"> </w:t>
      </w:r>
      <w:r>
        <w:t xml:space="preserve">size distribution is maintained. This addresses potential sample size</w:t>
      </w:r>
      <w:r>
        <w:t xml:space="preserve"> </w:t>
      </w:r>
      <w:r>
        <w:t xml:space="preserve">effects and enables comparisons between treatments with different sample</w:t>
      </w:r>
      <w:r>
        <w:t xml:space="preserve"> </w:t>
      </w:r>
      <w:r>
        <w:t xml:space="preserve">sizes more accurately than using non-overlapping confidence intervals. A</w:t>
      </w:r>
      <w:r>
        <w:t xml:space="preserve"> </w:t>
      </w:r>
      <w:r>
        <w:t xml:space="preserve">vignette is provided based on a dataset of macroinvertebrate data from</w:t>
      </w:r>
      <w:r>
        <w:t xml:space="preserve"> </w:t>
      </w:r>
      <w:r>
        <w:t xml:space="preserve">California streams that fall along a gradient of watershed percent</w:t>
      </w:r>
      <w:r>
        <w:t xml:space="preserve"> </w:t>
      </w:r>
      <w:r>
        <w:t xml:space="preserve">impervious cover. We compare change-points among different climate</w:t>
      </w:r>
      <w:r>
        <w:t xml:space="preserve"> </w:t>
      </w:r>
      <w:r>
        <w:t xml:space="preserve">conditions (wet, average, and dry) based on the Palmer Drought Severity</w:t>
      </w:r>
      <w:r>
        <w:t xml:space="preserve"> </w:t>
      </w:r>
      <w:r>
        <w:t xml:space="preserve">Index, which serve as the treatments in this example.</w:t>
      </w:r>
    </w:p>
    <w:bookmarkEnd w:id="20"/>
    <w:bookmarkStart w:id="23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bookmarkStart w:id="21" w:name="opera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Operation:</w:t>
      </w:r>
    </w:p>
    <w:p>
      <w:pPr>
        <w:pStyle w:val="FirstParagraph"/>
      </w:pPr>
      <w:r>
        <w:t xml:space="preserve">Like TITAN2, pTITAN2 was developed using the R programming language</w:t>
      </w:r>
      <w:r>
        <w:t xml:space="preserve"> </w:t>
      </w:r>
      <w:r>
        <w:t xml:space="preserve">(R Core Team 2021)</w:t>
      </w:r>
      <w:r>
        <w:t xml:space="preserve">. pTITAN2 has been testing on Windows, Mac OS, and Ubuntu for the</w:t>
      </w:r>
      <w:r>
        <w:t xml:space="preserve"> </w:t>
      </w:r>
      <w:r>
        <w:t xml:space="preserve">latest R version (4.1.0</w:t>
      </w:r>
      <w:r>
        <w:t xml:space="preserve"> </w:t>
      </w:r>
      <w:r>
        <w:t xml:space="preserve">at time of writing) along with old release and</w:t>
      </w:r>
      <w:r>
        <w:t xml:space="preserve"> </w:t>
      </w:r>
      <w:r>
        <w:t xml:space="preserve">development versions via github actions. Users should be familiar with the</w:t>
      </w:r>
      <w:r>
        <w:t xml:space="preserve"> </w:t>
      </w:r>
      <w:r>
        <w:t xml:space="preserve">TITAN2 package operations before using pTITAN2 (see</w:t>
      </w:r>
      <w:r>
        <w:t xml:space="preserve"> </w:t>
      </w:r>
      <w:r>
        <w:t xml:space="preserve">Matthew E. Baker, King, and Kahle (2020)</w:t>
      </w:r>
      <w:r>
        <w:t xml:space="preserve">).</w:t>
      </w:r>
    </w:p>
    <w:p>
      <w:pPr>
        <w:pStyle w:val="BodyText"/>
      </w:pPr>
      <w:r>
        <w:t xml:space="preserve">The basic workflow for pTITAN2 is</w:t>
      </w:r>
    </w:p>
    <w:p>
      <w:pPr>
        <w:numPr>
          <w:ilvl w:val="0"/>
          <w:numId w:val="1001"/>
        </w:numPr>
        <w:pStyle w:val="Compact"/>
      </w:pPr>
      <w:r>
        <w:t xml:space="preserve">Prepare and import the environmental gradient dataset into R</w:t>
      </w:r>
    </w:p>
    <w:p>
      <w:pPr>
        <w:numPr>
          <w:ilvl w:val="0"/>
          <w:numId w:val="1001"/>
        </w:numPr>
        <w:pStyle w:val="Compact"/>
      </w:pPr>
      <w:r>
        <w:t xml:space="preserve">Prepare and import the taxonomic dataset into R</w:t>
      </w:r>
    </w:p>
    <w:p>
      <w:pPr>
        <w:numPr>
          <w:ilvl w:val="0"/>
          <w:numId w:val="1001"/>
        </w:numPr>
        <w:pStyle w:val="Compact"/>
      </w:pPr>
      <w:r>
        <w:t xml:space="preserve">Preprocess raw taxonomic data to determine appropriate taxonomic level of resloution (occurrence function)</w:t>
      </w:r>
    </w:p>
    <w:p>
      <w:pPr>
        <w:numPr>
          <w:ilvl w:val="0"/>
          <w:numId w:val="1001"/>
        </w:numPr>
        <w:pStyle w:val="Compact"/>
      </w:pPr>
      <w:r>
        <w:t xml:space="preserve">Select columns for the taxon level retuned by occurrence function</w:t>
      </w:r>
    </w:p>
    <w:p>
      <w:pPr>
        <w:numPr>
          <w:ilvl w:val="0"/>
          <w:numId w:val="1001"/>
        </w:numPr>
        <w:pStyle w:val="Compact"/>
      </w:pPr>
      <w:r>
        <w:t xml:space="preserve">Permut the data across treatment labels to generate list of lists</w:t>
      </w:r>
    </w:p>
    <w:p>
      <w:pPr>
        <w:numPr>
          <w:ilvl w:val="0"/>
          <w:numId w:val="1001"/>
        </w:numPr>
        <w:pStyle w:val="Compact"/>
      </w:pPr>
      <w:r>
        <w:t xml:space="preserve">Set up cluster for parallele processing (optional)</w:t>
      </w:r>
    </w:p>
    <w:p>
      <w:pPr>
        <w:numPr>
          <w:ilvl w:val="0"/>
          <w:numId w:val="1001"/>
        </w:numPr>
        <w:pStyle w:val="Compact"/>
      </w:pPr>
      <w:r>
        <w:t xml:space="preserve">Run TITAN2 series on original and permuted data sets</w:t>
      </w:r>
    </w:p>
    <w:p>
      <w:pPr>
        <w:numPr>
          <w:ilvl w:val="0"/>
          <w:numId w:val="1001"/>
        </w:numPr>
        <w:pStyle w:val="Compact"/>
      </w:pPr>
      <w:r>
        <w:t xml:space="preserve">Analyze probability of exceeding observed diffrence in changepoint between treatments based on distribution of paired changepoint differences</w:t>
      </w:r>
    </w:p>
    <w:bookmarkEnd w:id="21"/>
    <w:bookmarkStart w:id="22" w:name="implementatio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Implementation:</w:t>
      </w:r>
    </w:p>
    <w:p>
      <w:pPr>
        <w:pStyle w:val="FirstParagraph"/>
      </w:pPr>
      <w:r>
        <w:t xml:space="preserve">The first step of pTITAN2 is to provide the data about the environmental</w:t>
      </w:r>
      <w:r>
        <w:t xml:space="preserve"> </w:t>
      </w:r>
      <w:r>
        <w:t xml:space="preserve">gradient in exactly the format as for TITAN, step</w:t>
      </w:r>
      <w:r>
        <w:t xml:space="preserve"> </w:t>
      </w:r>
      <w:r>
        <w:t xml:space="preserve">1). This can be either a single file or include in teh taxonomic data file</w:t>
      </w:r>
      <w:r>
        <w:t xml:space="preserve"> </w:t>
      </w:r>
      <w:r>
        <w:t xml:space="preserve">(Matthew E. Baker, King, and Kahle 2020)</w:t>
      </w:r>
      <w:r>
        <w:t xml:space="preserve">. Like TITAN2, taxonomic information should be provided as counts or</w:t>
      </w:r>
      <w:r>
        <w:t xml:space="preserve"> </w:t>
      </w:r>
      <w:r>
        <w:t xml:space="preserve">density. Unlike TITAN2, pTITAN2 taxonomic data nees to be provide as a code</w:t>
      </w:r>
      <w:r>
        <w:t xml:space="preserve"> </w:t>
      </w:r>
      <w:r>
        <w:t xml:space="preserve">that is 8 characters in length and captures four levels of hierarchical</w:t>
      </w:r>
      <w:r>
        <w:t xml:space="preserve"> </w:t>
      </w:r>
      <w:r>
        <w:t xml:space="preserve">taxonomic classification information.</w:t>
      </w:r>
    </w:p>
    <w:p>
      <w:pPr>
        <w:pStyle w:val="BodyText"/>
      </w:pPr>
      <w:r>
        <w:t xml:space="preserve">The pTITAN2 package provides four example data sets, two taxonomic and two</w:t>
      </w:r>
      <w:r>
        <w:t xml:space="preserve"> </w:t>
      </w:r>
      <w:r>
        <w:t xml:space="preserve">environmental gradient (Table</w:t>
      </w:r>
      <w:r>
        <w:t xml:space="preserve"> </w:t>
      </w:r>
      <w:r>
        <w:t xml:space="preserve">2.1</w:t>
      </w:r>
      <w:r>
        <w:t xml:space="preserve">). These data sets are</w:t>
      </w:r>
      <w:r>
        <w:t xml:space="preserve"> </w:t>
      </w:r>
      <w:r>
        <w:t xml:space="preserve">provided as raw csv files and as prepared R datasets.</w:t>
      </w:r>
    </w:p>
    <w:p>
      <w:pPr>
        <w:pStyle w:val="TableCaption"/>
      </w:pPr>
      <w:r>
        <w:t xml:space="preserve">Table 2.1: Example data sets provided in pTITAN2.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: Example data sets provided in pTITAN2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csv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C_IC_D_06_wID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C_IC_D_06_wID.csv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Environmental Gradient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Chaparral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C_IC_N_06_wID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C_IC_N_06_wID.csv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Environmental Gradient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Chaparral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CD_06_Mall_wID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CD_06_Mall_wID.csv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Taxonomic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Chaparral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CN_06_Mall_wID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CN_06_Mall_wID.csv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Taxonomic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Chaparral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</w:tr>
    </w:tbl>
    <w:p>
      <w:pPr>
        <w:pStyle w:val="BodyText"/>
      </w:pPr>
      <w:r>
        <w:t xml:space="preserve">You can gain access to the csv files via</w:t>
      </w:r>
      <w:r>
        <w:t xml:space="preserve"> </w:t>
      </w:r>
      <w:r>
        <w:rPr>
          <w:rStyle w:val="VerbatimChar"/>
        </w:rPr>
        <w:t xml:space="preserve">system.file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"pTITAN2"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[1] "C_IC_D_06_wID.csv"  "C_IC_N_06_wID.csv"  "CD_06_Mall_wID.csv"</w:t>
      </w:r>
      <w:r>
        <w:br/>
      </w:r>
      <w:r>
        <w:rPr>
          <w:rStyle w:val="DocumentationTok"/>
        </w:rPr>
        <w:t xml:space="preserve">## [4] "CN_06_Mall_wID.csv"</w:t>
      </w:r>
    </w:p>
    <w:p>
      <w:pPr>
        <w:pStyle w:val="FirstParagraph"/>
      </w:pPr>
      <w:r>
        <w:t xml:space="preserve">or get the data sets loaded into your environment via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(C_IC_D_06_wID, C_IC_N_06_wID, CD_06_Mall_wID, CN_06_Mall_wID,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"pTITAN2"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(C_IC_D_06_wID)  </w:t>
      </w:r>
      <w:r>
        <w:rPr>
          <w:rStyle w:val="CommentTok"/>
        </w:rPr>
        <w:t xml:space="preserve"># Environemntal Gradient, Dry Treatment</w:t>
      </w:r>
      <w:r>
        <w:br/>
      </w:r>
      <w:r>
        <w:rPr>
          <w:rStyle w:val="DocumentationTok"/>
        </w:rPr>
        <w:t xml:space="preserve">## 'data.frame':    251 obs. of  2 variables:</w:t>
      </w:r>
      <w:r>
        <w:br/>
      </w:r>
      <w:r>
        <w:rPr>
          <w:rStyle w:val="DocumentationTok"/>
        </w:rPr>
        <w:t xml:space="preserve">##  $ StationID: chr  "308000" "707063" "707086" "500762" ...</w:t>
      </w:r>
      <w:r>
        <w:br/>
      </w:r>
      <w:r>
        <w:rPr>
          <w:rStyle w:val="DocumentationTok"/>
        </w:rPr>
        <w:t xml:space="preserve">##  $ ImpCover : num  0.0151 0.0907 0.076 3.9944 2.5167 ...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(C_IC_N_06_wID)  </w:t>
      </w:r>
      <w:r>
        <w:rPr>
          <w:rStyle w:val="CommentTok"/>
        </w:rPr>
        <w:t xml:space="preserve"># Environemntal Gradient, Normal Treatment</w:t>
      </w:r>
      <w:r>
        <w:br/>
      </w:r>
      <w:r>
        <w:rPr>
          <w:rStyle w:val="DocumentationTok"/>
        </w:rPr>
        <w:t xml:space="preserve">## 'data.frame':    124 obs. of  2 variables:</w:t>
      </w:r>
      <w:r>
        <w:br/>
      </w:r>
      <w:r>
        <w:rPr>
          <w:rStyle w:val="DocumentationTok"/>
        </w:rPr>
        <w:t xml:space="preserve">##  $ StationID: chr  "707059" "707076" "707219" "500004" ...</w:t>
      </w:r>
      <w:r>
        <w:br/>
      </w:r>
      <w:r>
        <w:rPr>
          <w:rStyle w:val="DocumentationTok"/>
        </w:rPr>
        <w:t xml:space="preserve">##  $ ImpCover : num  0.05959 0.00695 8.46983 35.8094 12.97293 ...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(CD_06_Mall_wID) </w:t>
      </w:r>
      <w:r>
        <w:rPr>
          <w:rStyle w:val="CommentTok"/>
        </w:rPr>
        <w:t xml:space="preserve"># Taxonomic, Dry Treatment</w:t>
      </w:r>
      <w:r>
        <w:br/>
      </w:r>
      <w:r>
        <w:rPr>
          <w:rStyle w:val="DocumentationTok"/>
        </w:rPr>
        <w:t xml:space="preserve">## [1] 251 501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(CN_06_Mall_wID) </w:t>
      </w:r>
      <w:r>
        <w:rPr>
          <w:rStyle w:val="CommentTok"/>
        </w:rPr>
        <w:t xml:space="preserve"># Taxonomic, Normal Treatment</w:t>
      </w:r>
      <w:r>
        <w:br/>
      </w:r>
      <w:r>
        <w:rPr>
          <w:rStyle w:val="DocumentationTok"/>
        </w:rPr>
        <w:t xml:space="preserve">## [1] 124 501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CN_06_Mall.csv</w:t>
      </w:r>
      <w:r>
        <w:t xml:space="preserve"> </w:t>
      </w:r>
      <w:r>
        <w:t xml:space="preserve">(Chaparral Region, Treatment = Normal) file contains raw</w:t>
      </w:r>
      <w:r>
        <w:t xml:space="preserve"> </w:t>
      </w:r>
      <w:r>
        <w:t xml:space="preserve">macroinvertebrate density data for 500 possible macroinvertebrate codes for</w:t>
      </w:r>
      <w:r>
        <w:t xml:space="preserve"> </w:t>
      </w:r>
      <w:r>
        <w:t xml:space="preserve">each taxonomic level (class, order, family, genus). The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function selects the codes that should be used for the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run.</w:t>
      </w:r>
      <w:r>
        <w:t xml:space="preserve"> </w:t>
      </w:r>
      <w:r>
        <w:t xml:space="preserve">The goal is to select the macroinvertebrate code with the most taxonomic</w:t>
      </w:r>
      <w:r>
        <w:t xml:space="preserve"> </w:t>
      </w:r>
      <w:r>
        <w:t xml:space="preserve">detail having at least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occurrences. Only one macroinvertebrate code will be</w:t>
      </w:r>
      <w:r>
        <w:t xml:space="preserve"> </w:t>
      </w:r>
      <w:r>
        <w:t xml:space="preserve">associated with the macroinvertebrate counts. For example, if there are at</w:t>
      </w:r>
      <w:r>
        <w:t xml:space="preserve"> </w:t>
      </w:r>
      <w:r>
        <w:t xml:space="preserve">least 5 occurrences at the genus level, the family, order, and class codes</w:t>
      </w:r>
      <w:r>
        <w:t xml:space="preserve"> </w:t>
      </w:r>
      <w:r>
        <w:t xml:space="preserve">would not be used in the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run.</w:t>
      </w:r>
    </w:p>
    <w:p>
      <w:pPr>
        <w:pStyle w:val="BodyText"/>
      </w:pPr>
      <w:r>
        <w:t xml:space="preserve">The names within the data set are expected to have the following structure:</w:t>
      </w:r>
    </w:p>
    <w:p>
      <w:pPr>
        <w:numPr>
          <w:ilvl w:val="0"/>
          <w:numId w:val="1002"/>
        </w:numPr>
        <w:pStyle w:val="Compact"/>
      </w:pPr>
      <w:r>
        <w:t xml:space="preserve">8 characters in length</w:t>
      </w:r>
    </w:p>
    <w:p>
      <w:pPr>
        <w:numPr>
          <w:ilvl w:val="0"/>
          <w:numId w:val="1002"/>
        </w:numPr>
        <w:pStyle w:val="Compact"/>
      </w:pPr>
      <w:r>
        <w:t xml:space="preserve">characters 1 and 2 denote the class</w:t>
      </w:r>
    </w:p>
    <w:p>
      <w:pPr>
        <w:numPr>
          <w:ilvl w:val="0"/>
          <w:numId w:val="1002"/>
        </w:numPr>
        <w:pStyle w:val="Compact"/>
      </w:pPr>
      <w:r>
        <w:t xml:space="preserve">characters 3 and 4 denote the order</w:t>
      </w:r>
    </w:p>
    <w:p>
      <w:pPr>
        <w:numPr>
          <w:ilvl w:val="0"/>
          <w:numId w:val="1002"/>
        </w:numPr>
        <w:pStyle w:val="Compact"/>
      </w:pPr>
      <w:r>
        <w:t xml:space="preserve">characters 5 and 6 denote the family</w:t>
      </w:r>
    </w:p>
    <w:p>
      <w:pPr>
        <w:numPr>
          <w:ilvl w:val="0"/>
          <w:numId w:val="1002"/>
        </w:numPr>
        <w:pStyle w:val="Compact"/>
      </w:pPr>
      <w:r>
        <w:t xml:space="preserve">characters 7 and 8 denote the genus.</w:t>
      </w:r>
    </w:p>
    <w:p>
      <w:pPr>
        <w:pStyle w:val="FirstParagraph"/>
      </w:pPr>
      <w:r>
        <w:t xml:space="preserve">If no information at a level exists, use</w:t>
      </w:r>
      <w:r>
        <w:t xml:space="preserve"> </w:t>
      </w:r>
      <w:r>
        <w:t xml:space="preserve">“</w:t>
      </w:r>
      <w:r>
        <w:t xml:space="preserve">00</w:t>
      </w:r>
      <w:r>
        <w:t xml:space="preserve">”</w:t>
      </w:r>
      <w:r>
        <w:t xml:space="preserve"> </w:t>
      </w:r>
      <w:r>
        <w:t xml:space="preserve">to hold the place. For</w:t>
      </w:r>
      <w:r>
        <w:t xml:space="preserve"> </w:t>
      </w:r>
      <w:r>
        <w:t xml:space="preserve">example: A code that is</w:t>
      </w:r>
      <w:r>
        <w:t xml:space="preserve"> </w:t>
      </w:r>
      <w:r>
        <w:t xml:space="preserve">‘</w:t>
      </w:r>
      <w:r>
        <w:t xml:space="preserve">Bi000000</w:t>
      </w:r>
      <w:r>
        <w:t xml:space="preserve">’</w:t>
      </w:r>
      <w:r>
        <w:t xml:space="preserve"> </w:t>
      </w:r>
      <w:r>
        <w:t xml:space="preserve">is the Bivalvia class, while BiVe0000 is</w:t>
      </w:r>
      <w:r>
        <w:t xml:space="preserve"> </w:t>
      </w:r>
      <w:r>
        <w:t xml:space="preserve">the Bivalvia class, Veneroida order. BiVeSh00 is the Bivalvia class,</w:t>
      </w:r>
      <w:r>
        <w:t xml:space="preserve"> </w:t>
      </w:r>
      <w:r>
        <w:t xml:space="preserve">Veneroida order, Spheriridae family. BiVeSh01 is a genus within that family.</w:t>
      </w:r>
    </w:p>
    <w:p>
      <w:pPr>
        <w:pStyle w:val="BodyText"/>
      </w:pPr>
      <w:r>
        <w:t xml:space="preserve">The first new function provided by pTITAN2 is</w:t>
      </w:r>
      <w:r>
        <w:t xml:space="preserve"> </w:t>
      </w:r>
      <w:r>
        <w:rPr>
          <w:rStyle w:val="VerbatimChar"/>
        </w:rPr>
        <w:t xml:space="preserve">occurrences.</w:t>
      </w:r>
      <w:r>
        <w:t xml:space="preserve"> </w:t>
      </w:r>
      <w:r>
        <w:t xml:space="preserve">Taking the</w:t>
      </w:r>
      <w:r>
        <w:t xml:space="preserve"> </w:t>
      </w:r>
      <w:r>
        <w:t xml:space="preserve">taxonomic data as an input, the return of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is a data.frame with the</w:t>
      </w:r>
      <w:r>
        <w:t xml:space="preserve"> </w:t>
      </w:r>
      <w:r>
        <w:t xml:space="preserve">taxon, the class, order, family, and genus split out into individual columns,</w:t>
      </w:r>
      <w:r>
        <w:t xml:space="preserve"> </w:t>
      </w:r>
      <w:r>
        <w:t xml:space="preserve">and the count of occurrences within the provided taxonomic data set.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recommends all taxonomic groups have at least five observations</w:t>
      </w:r>
      <w:r>
        <w:t xml:space="preserve"> </w:t>
      </w:r>
      <w:r>
        <w:t xml:space="preserve">(Matthew E. Baker and King 2010)</w:t>
      </w:r>
      <w:r>
        <w:t xml:space="preserve">. Thus</w:t>
      </w:r>
      <w:r>
        <w:t xml:space="preserve"> </w:t>
      </w:r>
      <w:r>
        <w:rPr>
          <w:rStyle w:val="VerbatimChar"/>
        </w:rPr>
        <w:t xml:space="preserve">occurances</w:t>
      </w:r>
      <w:r>
        <w:t xml:space="preserve"> </w:t>
      </w:r>
      <w:r>
        <w:t xml:space="preserve">returns only taxons with at least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observations, defaulting to 5. The taxonomic code chosen for analysis should</w:t>
      </w:r>
      <w:r>
        <w:t xml:space="preserve"> </w:t>
      </w:r>
      <w:r>
        <w:t xml:space="preserve">be at the finest possible resolution. For example, if a macroinvertebrate</w:t>
      </w:r>
      <w:r>
        <w:t xml:space="preserve"> </w:t>
      </w:r>
      <w:r>
        <w:t xml:space="preserve">count has at least 5 occurrences in a genus code, the family, order, and class</w:t>
      </w:r>
      <w:r>
        <w:t xml:space="preserve"> </w:t>
      </w:r>
      <w:r>
        <w:t xml:space="preserve">codes associated with these counts should be removed. Further, if there are too</w:t>
      </w:r>
      <w:r>
        <w:t xml:space="preserve"> </w:t>
      </w:r>
      <w:r>
        <w:t xml:space="preserve">few counts at the genus level, but at least 5 counts at the family level- the</w:t>
      </w:r>
      <w:r>
        <w:t xml:space="preserve"> </w:t>
      </w:r>
      <w:r>
        <w:t xml:space="preserve">family code would be retained and the order and class codes would be removed.</w:t>
      </w:r>
    </w:p>
    <w:p>
      <w:pPr>
        <w:pStyle w:val="BodyText"/>
      </w:pPr>
      <w:r>
        <w:t xml:space="preserve">The second new function provided by pTITAN2 is the</w:t>
      </w:r>
      <w:r>
        <w:t xml:space="preserve"> </w:t>
      </w:r>
      <w:r>
        <w:rPr>
          <w:rStyle w:val="VerbatimChar"/>
        </w:rPr>
        <w:t xml:space="preserve">permute</w:t>
      </w:r>
      <w:r>
        <w:t xml:space="preserve"> </w:t>
      </w:r>
      <w:r>
        <w:t xml:space="preserve">function which</w:t>
      </w:r>
      <w:r>
        <w:t xml:space="preserve"> </w:t>
      </w:r>
      <w:r>
        <w:t xml:space="preserve">provides a list of permuted sets of taxa and environmental gradients. This</w:t>
      </w:r>
      <w:r>
        <w:t xml:space="preserve"> </w:t>
      </w:r>
      <w:r>
        <w:t xml:space="preserve">function is used with categorical envrionmental variables (treatments), such as</w:t>
      </w:r>
      <w:r>
        <w:t xml:space="preserve"> </w:t>
      </w:r>
      <w:r>
        <w:t xml:space="preserve">Wet/Dry or Urban/Rural. The funciton permutes the treatment labels across the</w:t>
      </w:r>
      <w:r>
        <w:t xml:space="preserve"> </w:t>
      </w:r>
      <w:r>
        <w:t xml:space="preserve">data such that each station has a non-zero probability of being assigned to each</w:t>
      </w:r>
      <w:r>
        <w:t xml:space="preserve"> </w:t>
      </w:r>
      <w:r>
        <w:t xml:space="preserve">treatment, and the stations are unique within each treatment and replication.</w:t>
      </w:r>
      <w:r>
        <w:t xml:space="preserve"> </w:t>
      </w:r>
      <w:r>
        <w:t xml:space="preserve">There are some limitation on the permutations generated by</w:t>
      </w:r>
      <w:r>
        <w:t xml:space="preserve"> </w:t>
      </w:r>
      <w:r>
        <w:rPr>
          <w:rStyle w:val="VerbatimChar"/>
        </w:rPr>
        <w:t xml:space="preserve">permute</w:t>
      </w:r>
      <w:r>
        <w:t xml:space="preserve">. First, a site</w:t>
      </w:r>
      <w:r>
        <w:t xml:space="preserve"> </w:t>
      </w:r>
      <w:r>
        <w:t xml:space="preserve">cannot occur in a category more than once within a permutation. Second, the</w:t>
      </w:r>
      <w:r>
        <w:t xml:space="preserve"> </w:t>
      </w:r>
      <w:r>
        <w:t xml:space="preserve">original sample size distribution is maintained. These limitations address</w:t>
      </w:r>
      <w:r>
        <w:t xml:space="preserve"> </w:t>
      </w:r>
      <w:r>
        <w:t xml:space="preserve">potential sample size effects in TITAN, where treatments with low sample sizes</w:t>
      </w:r>
      <w:r>
        <w:t xml:space="preserve"> </w:t>
      </w:r>
      <w:r>
        <w:t xml:space="preserve">have wide confidence intervals and variable change points compared to treatments</w:t>
      </w:r>
      <w:r>
        <w:t xml:space="preserve"> </w:t>
      </w:r>
      <w:r>
        <w:t xml:space="preserve">with high sample sizes, and enable comparisons between treatments with different</w:t>
      </w:r>
      <w:r>
        <w:t xml:space="preserve"> </w:t>
      </w:r>
      <w:r>
        <w:t xml:space="preserve">sample sizes.</w:t>
      </w:r>
    </w:p>
    <w:p>
      <w:pPr>
        <w:pStyle w:val="BodyText"/>
      </w:pPr>
      <w:r>
        <w:t xml:space="preserve">For example, assume we have sites A, B, C, D, and E with treatments 1 and 2</w:t>
      </w:r>
      <w:r>
        <w:t xml:space="preserve"> </w:t>
      </w:r>
      <w:r>
        <w:t xml:space="preserve">(Table</w:t>
      </w:r>
      <w:r>
        <w:t xml:space="preserve"> </w:t>
      </w:r>
      <w:r>
        <w:t xml:space="preserve">2.2</w:t>
      </w:r>
      <w:r>
        <w:t xml:space="preserve">).</w:t>
      </w:r>
      <w:r>
        <w:t xml:space="preserve"> </w:t>
      </w:r>
      <w:r>
        <w:t xml:space="preserve">Let Trt0 denote the initial treatment labels for the sites and Trt1, …,</w:t>
      </w:r>
      <w:r>
        <w:t xml:space="preserve"> </w:t>
      </w:r>
      <w:r>
        <w:t xml:space="preserve">Trt4 denote permuted treatment labels. For sites A and C, each permuted set of</w:t>
      </w:r>
      <w:r>
        <w:t xml:space="preserve"> </w:t>
      </w:r>
      <w:r>
        <w:t xml:space="preserve">treatment labels consist of one row for label 1 and one row for label 2. For</w:t>
      </w:r>
      <w:r>
        <w:t xml:space="preserve"> </w:t>
      </w:r>
      <w:r>
        <w:t xml:space="preserve">sites B, D, and E, the initial observations were for treatments 1, 2, and 2</w:t>
      </w:r>
      <w:r>
        <w:t xml:space="preserve"> </w:t>
      </w:r>
      <w:r>
        <w:t xml:space="preserve">respectively. The balance of these labels is maintained across the</w:t>
      </w:r>
      <w:r>
        <w:t xml:space="preserve"> </w:t>
      </w:r>
      <w:r>
        <w:t xml:space="preserve">permutations.</w:t>
      </w:r>
    </w:p>
    <w:p>
      <w:pPr>
        <w:pStyle w:val="TableCaption"/>
      </w:pPr>
      <w:r>
        <w:t xml:space="preserve">Table 2.2: Example distribution of sites and perutated treatment labels.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2: Example distribution of sites and perutated treatment labels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trt0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trt1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trt2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trt3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trt4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After permutations, clusters can be used for parallel processing of</w:t>
      </w:r>
      <w:r>
        <w:t xml:space="preserve"> </w:t>
      </w:r>
      <w:r>
        <w:rPr>
          <w:rStyle w:val="VerbatimChar"/>
        </w:rPr>
        <w:t xml:space="preserve">TITAN::titan()</w:t>
      </w:r>
      <w:r>
        <w:t xml:space="preserve"> </w:t>
      </w:r>
      <w:r>
        <w:t xml:space="preserve">calls. This can be advantageous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TITAN::titan()</w:t>
      </w:r>
      <w:r>
        <w:t xml:space="preserve"> </w:t>
      </w:r>
      <w:r>
        <w:t xml:space="preserve">calls can be time and computationally expensive. Following</w:t>
      </w:r>
      <w:r>
        <w:t xml:space="preserve"> </w:t>
      </w:r>
      <w:r>
        <w:t xml:space="preserve">the needed</w:t>
      </w:r>
      <w:r>
        <w:t xml:space="preserve"> </w:t>
      </w:r>
      <w:r>
        <w:rPr>
          <w:rStyle w:val="VerbatimChar"/>
        </w:rPr>
        <w:t xml:space="preserve">TITAN::titan()</w:t>
      </w:r>
      <w:r>
        <w:t xml:space="preserve"> </w:t>
      </w:r>
      <w:r>
        <w:t xml:space="preserve">calls the differences between treatment change</w:t>
      </w:r>
      <w:r>
        <w:t xml:space="preserve"> </w:t>
      </w:r>
      <w:r>
        <w:t xml:space="preserve">points in the observed data can be compared to the differences between treatment</w:t>
      </w:r>
      <w:r>
        <w:t xml:space="preserve"> </w:t>
      </w:r>
      <w:r>
        <w:t xml:space="preserve">change points in the permuted stat to determine if the observed treatment</w:t>
      </w:r>
      <w:r>
        <w:t xml:space="preserve"> </w:t>
      </w:r>
      <w:r>
        <w:t xml:space="preserve">differences are statistically significant.</w:t>
      </w:r>
    </w:p>
    <w:bookmarkEnd w:id="22"/>
    <w:bookmarkEnd w:id="23"/>
    <w:bookmarkStart w:id="30" w:name="exampl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Example</w:t>
      </w:r>
    </w:p>
    <w:p>
      <w:pPr>
        <w:pStyle w:val="FirstParagraph"/>
      </w:pPr>
      <w:r>
        <w:t xml:space="preserve">Here we present an example showing implementation of pTITAN2. We will describe</w:t>
      </w:r>
      <w:r>
        <w:t xml:space="preserve"> </w:t>
      </w:r>
      <w:r>
        <w:t xml:space="preserve">the provided example data sets and how to use the</w:t>
      </w:r>
      <w:r>
        <w:t xml:space="preserve"> </w:t>
      </w:r>
      <w:r>
        <w:rPr>
          <w:rStyle w:val="VerbatimChar"/>
        </w:rPr>
        <w:t xml:space="preserve">occurrences()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permute()</w:t>
      </w:r>
      <w:r>
        <w:t xml:space="preserve"> </w:t>
      </w:r>
      <w:r>
        <w:t xml:space="preserve">functions.</w:t>
      </w:r>
    </w:p>
    <w:p>
      <w:pPr>
        <w:pStyle w:val="BodyText"/>
      </w:pPr>
      <w:r>
        <w:t xml:space="preserve">To reproduce the examples in this vignette you will need to load and attach</w:t>
      </w:r>
      <w:r>
        <w:t xml:space="preserve"> </w:t>
      </w:r>
      <w:r>
        <w:t xml:space="preserve">the pTITAN2 and magrittr namespaces. Other namespaces are used explicitly,</w:t>
      </w:r>
      <w:r>
        <w:t xml:space="preserve"> </w:t>
      </w:r>
      <w:r>
        <w:t xml:space="preserve">loaded (not attached) here.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(pTITAN2)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&lt;environment: namespace:data.table&gt;</w:t>
      </w:r>
      <w:r>
        <w:br/>
      </w:r>
      <w:r>
        <w:rPr>
          <w:rStyle w:val="FunctionTok"/>
        </w:rPr>
        <w:t xml:space="preserve">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&lt;environment: namespace:dplyr&gt;</w:t>
      </w:r>
      <w:r>
        <w:br/>
      </w:r>
      <w:r>
        <w:rPr>
          <w:rStyle w:val="FunctionTok"/>
        </w:rPr>
        <w:t xml:space="preserve">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&lt;environment: namespace:tidyr&gt;</w:t>
      </w:r>
    </w:p>
    <w:bookmarkStart w:id="25" w:name="example-dat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Example data</w:t>
      </w:r>
    </w:p>
    <w:p>
      <w:pPr>
        <w:pStyle w:val="FirstParagraph"/>
      </w:pPr>
      <w:r>
        <w:t xml:space="preserve">Example data provided within the pTITAN2 package were based on publicly</w:t>
      </w:r>
      <w:r>
        <w:t xml:space="preserve"> </w:t>
      </w:r>
      <w:r>
        <w:t xml:space="preserve">available stream macroinvertebrate data from California. The data include</w:t>
      </w:r>
      <w:r>
        <w:t xml:space="preserve"> </w:t>
      </w:r>
      <w:r>
        <w:t xml:space="preserve">existing macroinvertegrate abundances from the California Environmental Data</w:t>
      </w:r>
      <w:r>
        <w:t xml:space="preserve"> </w:t>
      </w:r>
      <w:r>
        <w:t xml:space="preserve">Exchange Network (CEDEN, last accessed 30 June 2017), and the Southern</w:t>
      </w:r>
      <w:r>
        <w:t xml:space="preserve"> </w:t>
      </w:r>
      <w:r>
        <w:t xml:space="preserve">California Coastal Water Research Project (SCCWRP)</w:t>
      </w:r>
      <w:r>
        <w:t xml:space="preserve"> </w:t>
      </w:r>
      <w:r>
        <w:t xml:space="preserve">(Fetscher et al. 2014)</w:t>
      </w:r>
      <w:r>
        <w:t xml:space="preserve">.</w:t>
      </w:r>
      <w:r>
        <w:t xml:space="preserve"> </w:t>
      </w:r>
      <w:r>
        <w:t xml:space="preserve">Samples in the CEDEN dataset were collected between 2000 and 2016, and samples</w:t>
      </w:r>
      <w:r>
        <w:t xml:space="preserve"> </w:t>
      </w:r>
      <w:r>
        <w:t xml:space="preserve">from the SCCWRP dataset were collected between 1997 and 2011. Both data sets</w:t>
      </w:r>
      <w:r>
        <w:t xml:space="preserve"> </w:t>
      </w:r>
      <w:r>
        <w:t xml:space="preserve">were generated using probabilistic sampling designs and are expected to be</w:t>
      </w:r>
      <w:r>
        <w:t xml:space="preserve"> </w:t>
      </w:r>
      <w:r>
        <w:t xml:space="preserve">representative of streams in the region.</w:t>
      </w:r>
    </w:p>
    <w:p>
      <w:pPr>
        <w:pStyle w:val="BodyText"/>
      </w:pPr>
      <w:r>
        <w:t xml:space="preserve">For this example, data were extracted for California’s Chapparal Region</w:t>
      </w:r>
      <w:r>
        <w:t xml:space="preserve"> </w:t>
      </w:r>
      <w:r>
        <w:t xml:space="preserve">(Ode et al. 2011)</w:t>
      </w:r>
      <w:r>
        <w:t xml:space="preserve">. Sample observations were divided into one of three</w:t>
      </w:r>
      <w:r>
        <w:t xml:space="preserve"> </w:t>
      </w:r>
      <w:r>
        <w:t xml:space="preserve">classes based on the precipitation regime for the sampling year using the Palmer</w:t>
      </w:r>
      <w:r>
        <w:t xml:space="preserve"> </w:t>
      </w:r>
      <w:r>
        <w:t xml:space="preserve">Drought Severity Index (PDSI,</w:t>
      </w:r>
      <w:r>
        <w:t xml:space="preserve"> </w:t>
      </w:r>
      <w:hyperlink r:id="rId24">
        <w:r>
          <w:rPr>
            <w:rStyle w:val="Hyperlink"/>
          </w:rPr>
          <w:t xml:space="preserve">https://www7.ncdc.noaa.gov/CDO/CDODivisionalSelect.jsp</w:t>
        </w:r>
      </w:hyperlink>
      <w:r>
        <w:t xml:space="preserve">). The Palmer Drought</w:t>
      </w:r>
      <w:r>
        <w:t xml:space="preserve"> </w:t>
      </w:r>
      <w:r>
        <w:t xml:space="preserve">Severity Index was determined for each sampling event using monthly PDSI</w:t>
      </w:r>
      <w:r>
        <w:t xml:space="preserve"> </w:t>
      </w:r>
      <w:r>
        <w:t xml:space="preserve">data from the National Oceanic and Atmospheric Administration (NOAA, last</w:t>
      </w:r>
      <w:r>
        <w:t xml:space="preserve"> </w:t>
      </w:r>
      <w:r>
        <w:t xml:space="preserve">accessed 21 December 2016) and climate divisions from the National Climatic Data</w:t>
      </w:r>
      <w:r>
        <w:t xml:space="preserve"> </w:t>
      </w:r>
      <w:r>
        <w:t xml:space="preserve">Center (USGS 2004, last accessed 21 December 2016). All sampling events were</w:t>
      </w:r>
      <w:r>
        <w:t xml:space="preserve"> </w:t>
      </w:r>
      <w:r>
        <w:t xml:space="preserve">classified as dry (less than -2 PDSI), normal (between -2 and 2 PDSI), or wet ( greater than 2 PDSI)</w:t>
      </w:r>
      <w:r>
        <w:t xml:space="preserve"> </w:t>
      </w:r>
      <w:r>
        <w:t xml:space="preserve">and these classifications were used as treatments for the permutations. The</w:t>
      </w:r>
      <w:r>
        <w:t xml:space="preserve"> </w:t>
      </w:r>
      <w:r>
        <w:t xml:space="preserve">environmental gradient of interest was percent impervious cover in the upstream</w:t>
      </w:r>
      <w:r>
        <w:t xml:space="preserve"> </w:t>
      </w:r>
      <w:r>
        <w:t xml:space="preserve">watershed, in this case defined by the National Land Cover Datasets (NLCD,</w:t>
      </w:r>
      <w:r>
        <w:t xml:space="preserve"> </w:t>
      </w:r>
      <w:r>
        <w:t xml:space="preserve">Homer et al. (2007)</w:t>
      </w:r>
      <w:r>
        <w:t xml:space="preserve">, homer2015completion), with values interpolated between</w:t>
      </w:r>
      <w:r>
        <w:t xml:space="preserve"> </w:t>
      </w:r>
      <w:r>
        <w:t xml:space="preserve">NLCD years of record (2001,</w:t>
      </w:r>
      <w:r>
        <w:t xml:space="preserve"> </w:t>
      </w:r>
      <w:r>
        <w:t xml:space="preserve">2006, 2011). Impervious area additions beyond 2011 were estimated as 50% of</w:t>
      </w:r>
      <w:r>
        <w:t xml:space="preserve"> </w:t>
      </w:r>
      <w:r>
        <w:t xml:space="preserve">disturbed area for construction sites as documented in the California Stormwater</w:t>
      </w:r>
      <w:r>
        <w:t xml:space="preserve"> </w:t>
      </w:r>
      <w:r>
        <w:t xml:space="preserve">Multiple Application and Report Tracking System (SMARTS dataset, CalEPA)</w:t>
      </w:r>
      <w:r>
        <w:t xml:space="preserve"> </w:t>
      </w:r>
      <w:r>
        <w:t xml:space="preserve">(smarts.waterboards.ca.gov, last accessed 31 July 2017).</w:t>
      </w:r>
    </w:p>
    <w:p>
      <w:pPr>
        <w:pStyle w:val="BodyText"/>
      </w:pPr>
      <w:r>
        <w:t xml:space="preserve">For running pTITAN2, the example data sets have a separate csv or pre-built R</w:t>
      </w:r>
      <w:r>
        <w:t xml:space="preserve"> </w:t>
      </w:r>
      <w:r>
        <w:t xml:space="preserve">data sets (</w:t>
      </w:r>
      <w:r>
        <w:t xml:space="preserve">2.1</w:t>
      </w:r>
      <w:r>
        <w:t xml:space="preserve">), for the environmental variable, in this case</w:t>
      </w:r>
      <w:r>
        <w:t xml:space="preserve"> </w:t>
      </w:r>
      <w:r>
        <w:t xml:space="preserve">percent impervious cover, and macroinvertebrate density data. The data structure</w:t>
      </w:r>
      <w:r>
        <w:t xml:space="preserve"> </w:t>
      </w:r>
      <w:r>
        <w:t xml:space="preserve">that is shown here is not required for pTITAN2 and instead the environmental</w:t>
      </w:r>
      <w:r>
        <w:t xml:space="preserve"> </w:t>
      </w:r>
      <w:r>
        <w:t xml:space="preserve">variables and treatments could be in a single data file and subdivided as</w:t>
      </w:r>
      <w:r>
        <w:t xml:space="preserve"> </w:t>
      </w:r>
      <w:r>
        <w:t xml:space="preserve">desired. Separate data files are provided for each</w:t>
      </w:r>
      <w:r>
        <w:t xml:space="preserve"> </w:t>
      </w:r>
      <w:r>
        <w:t xml:space="preserve">‘</w:t>
      </w:r>
      <w:r>
        <w:t xml:space="preserve">treatment</w:t>
      </w:r>
      <w:r>
        <w:t xml:space="preserve">’</w:t>
      </w:r>
      <w:r>
        <w:t xml:space="preserve"> </w:t>
      </w:r>
      <w:r>
        <w:t xml:space="preserve">that is explored</w:t>
      </w:r>
      <w:r>
        <w:t xml:space="preserve"> </w:t>
      </w:r>
      <w:r>
        <w:t xml:space="preserve">including data from either drought (dry) or normal precipitation years in the</w:t>
      </w:r>
      <w:r>
        <w:t xml:space="preserve"> </w:t>
      </w:r>
      <w:r>
        <w:t xml:space="preserve">Chaparral region of California.</w:t>
      </w:r>
    </w:p>
    <w:bookmarkEnd w:id="25"/>
    <w:bookmarkStart w:id="26" w:name="function-occurrenc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Function occurrences</w:t>
      </w:r>
    </w:p>
    <w:p>
      <w:pPr>
        <w:pStyle w:val="FirstParagraph"/>
      </w:pPr>
      <w:r>
        <w:t xml:space="preserve">The taxonomic sets, CD_06_Mall_wID and CN_06_Mall_wID, contains raw</w:t>
      </w:r>
      <w:r>
        <w:t xml:space="preserve"> </w:t>
      </w:r>
      <w:r>
        <w:t xml:space="preserve">macroinvertebrate density data for 500 possible macroinvertebrate codes for</w:t>
      </w:r>
      <w:r>
        <w:t xml:space="preserve"> </w:t>
      </w:r>
      <w:r>
        <w:t xml:space="preserve">each taxonomic level (class, order, family, genus).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(CD_06_Mall_wID)</w:t>
      </w:r>
      <w:r>
        <w:br/>
      </w:r>
      <w:r>
        <w:rPr>
          <w:rStyle w:val="DocumentationTok"/>
        </w:rPr>
        <w:t xml:space="preserve">## [1] 251 501</w:t>
      </w:r>
      <w:r>
        <w:br/>
      </w:r>
      <w:r>
        <w:br/>
      </w:r>
      <w:r>
        <w:rPr>
          <w:rStyle w:val="CommentTok"/>
        </w:rPr>
        <w:t xml:space="preserve"># top 4 rows and first 10 columns</w:t>
      </w:r>
      <w:r>
        <w:br/>
      </w:r>
      <w:r>
        <w:rPr>
          <w:rStyle w:val="NormalTok"/>
        </w:rPr>
        <w:t xml:space="preserve">CD_06_Mall_wID[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  StationID  Ar000000 Bi000000 BiUn0000 BiUnUi00 BiUnUi01 BiVe0000 BiVeCa00</w:t>
      </w:r>
      <w:r>
        <w:br/>
      </w:r>
      <w:r>
        <w:rPr>
          <w:rStyle w:val="DocumentationTok"/>
        </w:rPr>
        <w:t xml:space="preserve">## 1    308000 48.484848        0        0        0        0        0        0</w:t>
      </w:r>
      <w:r>
        <w:br/>
      </w:r>
      <w:r>
        <w:rPr>
          <w:rStyle w:val="DocumentationTok"/>
        </w:rPr>
        <w:t xml:space="preserve">## 2    707063 97.979798        0        0        0        0        0        0</w:t>
      </w:r>
      <w:r>
        <w:br/>
      </w:r>
      <w:r>
        <w:rPr>
          <w:rStyle w:val="DocumentationTok"/>
        </w:rPr>
        <w:t xml:space="preserve">## 3    707086  1.010101        0        0        0        0        0        0</w:t>
      </w:r>
      <w:r>
        <w:br/>
      </w:r>
      <w:r>
        <w:rPr>
          <w:rStyle w:val="DocumentationTok"/>
        </w:rPr>
        <w:t xml:space="preserve">## 4    500762  8.080808        0        0        0        0        0        0</w:t>
      </w:r>
      <w:r>
        <w:br/>
      </w:r>
      <w:r>
        <w:rPr>
          <w:rStyle w:val="DocumentationTok"/>
        </w:rPr>
        <w:t xml:space="preserve">##   BiVeCa01 BiVeSh00</w:t>
      </w:r>
      <w:r>
        <w:br/>
      </w:r>
      <w:r>
        <w:rPr>
          <w:rStyle w:val="DocumentationTok"/>
        </w:rPr>
        <w:t xml:space="preserve">## 1        0        0</w:t>
      </w:r>
      <w:r>
        <w:br/>
      </w:r>
      <w:r>
        <w:rPr>
          <w:rStyle w:val="DocumentationTok"/>
        </w:rPr>
        <w:t xml:space="preserve">## 2        0        0</w:t>
      </w:r>
      <w:r>
        <w:br/>
      </w:r>
      <w:r>
        <w:rPr>
          <w:rStyle w:val="DocumentationTok"/>
        </w:rPr>
        <w:t xml:space="preserve">## 3        0        0</w:t>
      </w:r>
      <w:r>
        <w:br/>
      </w:r>
      <w:r>
        <w:rPr>
          <w:rStyle w:val="DocumentationTok"/>
        </w:rPr>
        <w:t xml:space="preserve">## 4        0        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function selects the codes that should be used for the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run.</w:t>
      </w:r>
      <w:r>
        <w:t xml:space="preserve"> </w:t>
      </w:r>
      <w:r>
        <w:t xml:space="preserve">The goal is to select the macroinvertebrate code with the most taxonomic</w:t>
      </w:r>
      <w:r>
        <w:t xml:space="preserve"> </w:t>
      </w:r>
      <w:r>
        <w:t xml:space="preserve">detail having at least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occurrences. Only one macroinvertebrate code will be</w:t>
      </w:r>
      <w:r>
        <w:t xml:space="preserve"> </w:t>
      </w:r>
      <w:r>
        <w:t xml:space="preserve">associated with the macroinvertebrate counts. For example, if there are at</w:t>
      </w:r>
      <w:r>
        <w:t xml:space="preserve"> </w:t>
      </w:r>
      <w:r>
        <w:t xml:space="preserve">least 5 occurrences at the genus level, the family, order, and class codes</w:t>
      </w:r>
      <w:r>
        <w:t xml:space="preserve"> </w:t>
      </w:r>
      <w:r>
        <w:t xml:space="preserve">would not be used in the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run.</w:t>
      </w:r>
    </w:p>
    <w:p>
      <w:pPr>
        <w:pStyle w:val="BodyText"/>
      </w:pPr>
      <w:r>
        <w:t xml:space="preserve">The data is parsed within the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call and returns a data.frame with</w:t>
      </w:r>
      <w:r>
        <w:t xml:space="preserve"> </w:t>
      </w:r>
      <w:r>
        <w:t xml:space="preserve">each taxon code split into its components and the frequency of the taxon within</w:t>
      </w:r>
      <w:r>
        <w:t xml:space="preserve"> </w:t>
      </w:r>
      <w:r>
        <w:t xml:space="preserve">the data set.</w:t>
      </w:r>
      <w:r>
        <w:t xml:space="preserve"> </w:t>
      </w:r>
      <w:r>
        <w:t xml:space="preserve">A new function in pTITAN2 is the occurrences function. This is an extension for</w:t>
      </w:r>
      <w:r>
        <w:t xml:space="preserve"> </w:t>
      </w:r>
      <w:r>
        <w:t xml:space="preserve">deciding the taxonomic detail to be included in a TITAN run based on</w:t>
      </w:r>
      <w:r>
        <w:t xml:space="preserve"> </w:t>
      </w:r>
      <w:r>
        <w:rPr>
          <w:rStyle w:val="VerbatimChar"/>
        </w:rPr>
        <w:t xml:space="preserve">minSplt</w:t>
      </w:r>
      <w:r>
        <w:t xml:space="preserve"> </w:t>
      </w:r>
      <w:r>
        <w:t xml:space="preserve">in TITAN.</w:t>
      </w:r>
      <w:r>
        <w:t xml:space="preserve"> </w:t>
      </w:r>
      <w:r>
        <w:rPr>
          <w:rStyle w:val="VerbatimChar"/>
        </w:rPr>
        <w:t xml:space="preserve">minSplt</w:t>
      </w:r>
      <w:r>
        <w:t xml:space="preserve"> </w:t>
      </w:r>
      <w:r>
        <w:t xml:space="preserve">is minimum number of occurrences that TITAN is looking for</w:t>
      </w:r>
      <w:r>
        <w:t xml:space="preserve"> </w:t>
      </w:r>
      <w:r>
        <w:t xml:space="preserve">taxa to have across the provided sites. The</w:t>
      </w:r>
      <w:r>
        <w:t xml:space="preserve"> </w:t>
      </w:r>
      <w:r>
        <w:rPr>
          <w:rStyle w:val="VerbatimChar"/>
        </w:rPr>
        <w:t xml:space="preserve">minSplt</w:t>
      </w:r>
      <w:r>
        <w:t xml:space="preserve"> </w:t>
      </w:r>
      <w:r>
        <w:t xml:space="preserve">default in TITAN is 5 and</w:t>
      </w:r>
      <w:r>
        <w:t xml:space="preserve"> </w:t>
      </w:r>
      <w:r>
        <w:t xml:space="preserve">should never drop below 3. The default for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minSplt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5.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occurrences</w:t>
      </w:r>
      <w:r>
        <w:rPr>
          <w:rStyle w:val="NormalTok"/>
        </w:rPr>
        <w:t xml:space="preserve">(CN_06_Mall_wID[,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DocumentationTok"/>
        </w:rPr>
        <w:t xml:space="preserve">##      taxon Class Order Family Genus count</w:t>
      </w:r>
      <w:r>
        <w:br/>
      </w:r>
      <w:r>
        <w:rPr>
          <w:rStyle w:val="DocumentationTok"/>
        </w:rPr>
        <w:t xml:space="preserve">## 1 Ar000000    Ar    00     00    00   115</w:t>
      </w:r>
      <w:r>
        <w:br/>
      </w:r>
      <w:r>
        <w:rPr>
          <w:rStyle w:val="DocumentationTok"/>
        </w:rPr>
        <w:t xml:space="preserve">## 2 BiVeCa01    Bi    Ve     Ca    01    16</w:t>
      </w:r>
      <w:r>
        <w:br/>
      </w:r>
      <w:r>
        <w:rPr>
          <w:rStyle w:val="DocumentationTok"/>
        </w:rPr>
        <w:t xml:space="preserve">## 3 BiVeSh00    Bi    Ve     Sh    00    42</w:t>
      </w:r>
      <w:r>
        <w:br/>
      </w:r>
      <w:r>
        <w:rPr>
          <w:rStyle w:val="DocumentationTok"/>
        </w:rPr>
        <w:t xml:space="preserve">## 4 EnHoTt01    En    Ho     Tt    01    19</w:t>
      </w:r>
      <w:r>
        <w:br/>
      </w:r>
      <w:r>
        <w:rPr>
          <w:rStyle w:val="DocumentationTok"/>
        </w:rPr>
        <w:t xml:space="preserve">## 5 GaBaAc01    Ga    Ba     Ac    01    14</w:t>
      </w:r>
      <w:r>
        <w:br/>
      </w:r>
      <w:r>
        <w:rPr>
          <w:rStyle w:val="DocumentationTok"/>
        </w:rPr>
        <w:t xml:space="preserve">## 6 GaBaLy02    Ga    Ba     Ly    02     5</w:t>
      </w:r>
    </w:p>
    <w:p>
      <w:pPr>
        <w:pStyle w:val="FirstParagraph"/>
      </w:pPr>
      <w:r>
        <w:t xml:space="preserve">Compare these results to working with the raw data. For example purposes we present the summary of the raw data twice,</w:t>
      </w:r>
      <w:r>
        <w:t xml:space="preserve"> </w:t>
      </w:r>
      <w:r>
        <w:t xml:space="preserve">once using tidyverse syntax and once using data.table syntax.</w:t>
      </w:r>
    </w:p>
    <w:p>
      <w:pPr>
        <w:pStyle w:val="SourceCode"/>
      </w:pPr>
      <w:r>
        <w:rPr>
          <w:rStyle w:val="CommentTok"/>
        </w:rPr>
        <w:t xml:space="preserve"># Tidyverse</w:t>
      </w:r>
      <w:r>
        <w:br/>
      </w:r>
      <w:r>
        <w:rPr>
          <w:rStyle w:val="NormalTok"/>
        </w:rPr>
        <w:t xml:space="preserve">CN_06_Mall_wID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StationID)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'taxon'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Class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taxon, 1L, 2L),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Order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taxon, 3L, 4L),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taxon, 5L, 6L),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Genus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taxon, 7L, 8L)</w:t>
      </w:r>
      <w:r>
        <w:br/>
      </w:r>
      <w:r>
        <w:rPr>
          <w:rStyle w:val="NormalTok"/>
        </w:rPr>
        <w:t xml:space="preserve">  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taxon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"keep"</w:t>
      </w:r>
      <w:r>
        <w:br/>
      </w:r>
      <w:r>
        <w:rPr>
          <w:rStyle w:val="NormalTok"/>
        </w:rPr>
        <w:t xml:space="preserve">     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Genus)</w:t>
      </w:r>
      <w:r>
        <w:br/>
      </w:r>
      <w:r>
        <w:rPr>
          <w:rStyle w:val="DocumentationTok"/>
        </w:rPr>
        <w:t xml:space="preserve">## # A tibble: 500 × 6</w:t>
      </w:r>
      <w:r>
        <w:br/>
      </w:r>
      <w:r>
        <w:rPr>
          <w:rStyle w:val="DocumentationTok"/>
        </w:rPr>
        <w:t xml:space="preserve">##    Class Order Family Genus taxon    count</w:t>
      </w:r>
      <w:r>
        <w:br/>
      </w:r>
      <w:r>
        <w:rPr>
          <w:rStyle w:val="DocumentationTok"/>
        </w:rPr>
        <w:t xml:space="preserve">##    &lt;chr&gt; &lt;chr&gt; &lt;chr&gt;  &lt;chr&gt; &lt;chr&gt;    &lt;int&gt;</w:t>
      </w:r>
      <w:r>
        <w:br/>
      </w:r>
      <w:r>
        <w:rPr>
          <w:rStyle w:val="DocumentationTok"/>
        </w:rPr>
        <w:t xml:space="preserve">##  1 Ar    00    00     00    Ar000000   115</w:t>
      </w:r>
      <w:r>
        <w:br/>
      </w:r>
      <w:r>
        <w:rPr>
          <w:rStyle w:val="DocumentationTok"/>
        </w:rPr>
        <w:t xml:space="preserve">##  2 Bi    00    00     00    Bi000000    46</w:t>
      </w:r>
      <w:r>
        <w:br/>
      </w:r>
      <w:r>
        <w:rPr>
          <w:rStyle w:val="DocumentationTok"/>
        </w:rPr>
        <w:t xml:space="preserve">##  3 Bi    Un    00     00    BiUn0000     0</w:t>
      </w:r>
      <w:r>
        <w:br/>
      </w:r>
      <w:r>
        <w:rPr>
          <w:rStyle w:val="DocumentationTok"/>
        </w:rPr>
        <w:t xml:space="preserve">##  4 Bi    Un    Ui     00    BiUnUi00     0</w:t>
      </w:r>
      <w:r>
        <w:br/>
      </w:r>
      <w:r>
        <w:rPr>
          <w:rStyle w:val="DocumentationTok"/>
        </w:rPr>
        <w:t xml:space="preserve">##  5 Bi    Un    Ui     01    BiUnUi01     0</w:t>
      </w:r>
      <w:r>
        <w:br/>
      </w:r>
      <w:r>
        <w:rPr>
          <w:rStyle w:val="DocumentationTok"/>
        </w:rPr>
        <w:t xml:space="preserve">##  6 Bi    Ve    00     00    BiVe0000    46</w:t>
      </w:r>
      <w:r>
        <w:br/>
      </w:r>
      <w:r>
        <w:rPr>
          <w:rStyle w:val="DocumentationTok"/>
        </w:rPr>
        <w:t xml:space="preserve">##  7 Bi    Ve    Ca     00    BiVeCa00    16</w:t>
      </w:r>
      <w:r>
        <w:br/>
      </w:r>
      <w:r>
        <w:rPr>
          <w:rStyle w:val="DocumentationTok"/>
        </w:rPr>
        <w:t xml:space="preserve">##  8 Bi    Ve    Ca     01    BiVeCa01    16</w:t>
      </w:r>
      <w:r>
        <w:br/>
      </w:r>
      <w:r>
        <w:rPr>
          <w:rStyle w:val="DocumentationTok"/>
        </w:rPr>
        <w:t xml:space="preserve">##  9 Bi    Ve    Sh     00    BiVeSh00    42</w:t>
      </w:r>
      <w:r>
        <w:br/>
      </w:r>
      <w:r>
        <w:rPr>
          <w:rStyle w:val="DocumentationTok"/>
        </w:rPr>
        <w:t xml:space="preserve">## 10 Br    00    00     00    Br000000     0</w:t>
      </w:r>
      <w:r>
        <w:br/>
      </w:r>
      <w:r>
        <w:rPr>
          <w:rStyle w:val="DocumentationTok"/>
        </w:rPr>
        <w:t xml:space="preserve">## # … with 490 more rows</w:t>
      </w:r>
    </w:p>
    <w:p>
      <w:pPr>
        <w:pStyle w:val="SourceCode"/>
      </w:pPr>
      <w:r>
        <w:rPr>
          <w:rStyle w:val="CommentTok"/>
        </w:rPr>
        <w:t xml:space="preserve"># data.table</w:t>
      </w:r>
      <w:r>
        <w:br/>
      </w:r>
      <w:r>
        <w:rPr>
          <w:rStyle w:val="NormalTok"/>
        </w:rPr>
        <w:t xml:space="preserve">taxon_count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(CN_06_Mall_wID)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(taxon_count)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(taxon_count, is.integer)))) {</w:t>
      </w:r>
      <w:r>
        <w:br/>
      </w:r>
      <w:r>
        <w:rPr>
          <w:rStyle w:val="NormalTok"/>
        </w:rPr>
        <w:t xml:space="preserve"> 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j,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(taxon_count[[j]]))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taxon_count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variable.factor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(taxon_count),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taxon_count[, value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keyby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.(taxon)]</w:t>
      </w:r>
      <w:r>
        <w:br/>
      </w:r>
      <w:r>
        <w:rPr>
          <w:rStyle w:val="NormalTok"/>
        </w:rPr>
        <w:t xml:space="preserve">taxon_count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(taxon_count)</w:t>
      </w:r>
      <w:r>
        <w:br/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(taxon_count[[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]], 1L, 2L))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(taxon_count[[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]], 3L, 4L))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(taxon_count[[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]], 5L, 6L))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(taxon_count,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(taxon_count[[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]], 7L, 8L))</w:t>
      </w:r>
      <w:r>
        <w:br/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setkeyv</w:t>
      </w:r>
      <w:r>
        <w:rPr>
          <w:rStyle w:val="NormalTok"/>
        </w:rPr>
        <w:t xml:space="preserve">(taxon_count,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taxon_count[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"^(Ar|Bi).+"</w:t>
      </w:r>
      <w:r>
        <w:rPr>
          <w:rStyle w:val="NormalTok"/>
        </w:rPr>
        <w:t xml:space="preserve">, taxon)]</w:t>
      </w:r>
      <w:r>
        <w:br/>
      </w:r>
      <w:r>
        <w:rPr>
          <w:rStyle w:val="DocumentationTok"/>
        </w:rPr>
        <w:t xml:space="preserve">##       taxon value Class Order Family Genus</w:t>
      </w:r>
      <w:r>
        <w:br/>
      </w:r>
      <w:r>
        <w:rPr>
          <w:rStyle w:val="DocumentationTok"/>
        </w:rPr>
        <w:t xml:space="preserve">## 1: Ar000000   115    Ar    00     00    00</w:t>
      </w:r>
      <w:r>
        <w:br/>
      </w:r>
      <w:r>
        <w:rPr>
          <w:rStyle w:val="DocumentationTok"/>
        </w:rPr>
        <w:t xml:space="preserve">## 2: Bi000000    46    Bi    00     00    00</w:t>
      </w:r>
      <w:r>
        <w:br/>
      </w:r>
      <w:r>
        <w:rPr>
          <w:rStyle w:val="DocumentationTok"/>
        </w:rPr>
        <w:t xml:space="preserve">## 3: BiUn0000     0    Bi    Un     00    00</w:t>
      </w:r>
      <w:r>
        <w:br/>
      </w:r>
      <w:r>
        <w:rPr>
          <w:rStyle w:val="DocumentationTok"/>
        </w:rPr>
        <w:t xml:space="preserve">## 4: BiUnUi00     0    Bi    Un     Ui    00</w:t>
      </w:r>
      <w:r>
        <w:br/>
      </w:r>
      <w:r>
        <w:rPr>
          <w:rStyle w:val="DocumentationTok"/>
        </w:rPr>
        <w:t xml:space="preserve">## 5: BiUnUi01     0    Bi    Un     Ui    01</w:t>
      </w:r>
      <w:r>
        <w:br/>
      </w:r>
      <w:r>
        <w:rPr>
          <w:rStyle w:val="DocumentationTok"/>
        </w:rPr>
        <w:t xml:space="preserve">## 6: BiVe0000    46    Bi    Ve     00    00</w:t>
      </w:r>
      <w:r>
        <w:br/>
      </w:r>
      <w:r>
        <w:rPr>
          <w:rStyle w:val="DocumentationTok"/>
        </w:rPr>
        <w:t xml:space="preserve">## 7: BiVeCa00    16    Bi    Ve     Ca    00</w:t>
      </w:r>
      <w:r>
        <w:br/>
      </w:r>
      <w:r>
        <w:rPr>
          <w:rStyle w:val="DocumentationTok"/>
        </w:rPr>
        <w:t xml:space="preserve">## 8: BiVeCa01    16    Bi    Ve     Ca    01</w:t>
      </w:r>
      <w:r>
        <w:br/>
      </w:r>
      <w:r>
        <w:rPr>
          <w:rStyle w:val="DocumentationTok"/>
        </w:rPr>
        <w:t xml:space="preserve">## 9: BiVeSh00    42    Bi    Ve     Sh    00</w:t>
      </w:r>
    </w:p>
    <w:p>
      <w:pPr>
        <w:pStyle w:val="FirstParagraph"/>
      </w:pPr>
      <w:r>
        <w:t xml:space="preserve">Note that for the Ar class there is only one row with no order, family, or genus</w:t>
      </w:r>
      <w:r>
        <w:t xml:space="preserve"> </w:t>
      </w:r>
      <w:r>
        <w:t xml:space="preserve">level information. Compare to the Bi class where the Un order has no presence</w:t>
      </w:r>
      <w:r>
        <w:t xml:space="preserve"> </w:t>
      </w:r>
      <w:r>
        <w:t xml:space="preserve">counts and is thus not reported in object returned from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. BiVeCa01</w:t>
      </w:r>
      <w:r>
        <w:t xml:space="preserve"> </w:t>
      </w:r>
      <w:r>
        <w:t xml:space="preserve">has counts and will be reported but BiVeCa00 should not be reported. BiVe0000</w:t>
      </w:r>
      <w:r>
        <w:t xml:space="preserve"> </w:t>
      </w:r>
      <w:r>
        <w:t xml:space="preserve">and Bi000000 should not be reported as</w:t>
      </w:r>
      <w:r>
        <w:t xml:space="preserve"> </w:t>
      </w:r>
      <w:r>
        <w:rPr>
          <w:rStyle w:val="VerbatimChar"/>
        </w:rPr>
        <w:t xml:space="preserve">occurrences</w:t>
      </w:r>
      <w:r>
        <w:t xml:space="preserve"> </w:t>
      </w:r>
      <w:r>
        <w:t xml:space="preserve">as preference for the codes</w:t>
      </w:r>
      <w:r>
        <w:t xml:space="preserve"> </w:t>
      </w:r>
      <w:r>
        <w:t xml:space="preserve">with family and genus level information.</w:t>
      </w:r>
    </w:p>
    <w:bookmarkEnd w:id="26"/>
    <w:bookmarkStart w:id="27" w:name="function-permut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Function permute</w:t>
      </w:r>
    </w:p>
    <w:p>
      <w:pPr>
        <w:pStyle w:val="FirstParagraph"/>
      </w:pPr>
      <w:r>
        <w:t xml:space="preserve">The function permute is used to generate a list of permuted sets of taxa and</w:t>
      </w:r>
      <w:r>
        <w:t xml:space="preserve"> </w:t>
      </w:r>
      <w:r>
        <w:t xml:space="preserve">environmental gradients. Function parameters include a list of data frames</w:t>
      </w:r>
      <w:r>
        <w:t xml:space="preserve"> </w:t>
      </w:r>
      <w:r>
        <w:t xml:space="preserve">containing taxa for each treatment group, a list of data frames containing the</w:t>
      </w:r>
      <w:r>
        <w:t xml:space="preserve"> </w:t>
      </w:r>
      <w:r>
        <w:t xml:space="preserve">associated environmental gradient variables, and the site ids. Before we can run</w:t>
      </w:r>
      <w:r>
        <w:t xml:space="preserve"> </w:t>
      </w:r>
      <w:r>
        <w:t xml:space="preserve">permute, we need to import the environmental gradients data.</w:t>
      </w:r>
    </w:p>
    <w:p>
      <w:pPr>
        <w:pStyle w:val="SourceCode"/>
      </w:pPr>
      <w:r>
        <w:rPr>
          <w:rStyle w:val="NormalTok"/>
        </w:rPr>
        <w:t xml:space="preserve">eg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permute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taxa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(CD_06_Mall_wID, CN_06_Mall_wID),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envs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(C_IC_D_06_wID, C_IC_N_06_wID),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sid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(eg, </w:t>
      </w:r>
      <w:r>
        <w:rPr>
          <w:rStyle w:val="AttributeTok"/>
        </w:rPr>
        <w:t xml:space="preserve">max.level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List of 2</w:t>
      </w:r>
      <w:r>
        <w:br/>
      </w:r>
      <w:r>
        <w:rPr>
          <w:rStyle w:val="DocumentationTok"/>
        </w:rPr>
        <w:t xml:space="preserve">##  $ Treatment1:List of 2</w:t>
      </w:r>
      <w:r>
        <w:br/>
      </w:r>
      <w:r>
        <w:rPr>
          <w:rStyle w:val="DocumentationTok"/>
        </w:rPr>
        <w:t xml:space="preserve">##   ..$ env :'data.frame': 251 obs. of  1 variable:</w:t>
      </w:r>
      <w:r>
        <w:br/>
      </w:r>
      <w:r>
        <w:rPr>
          <w:rStyle w:val="DocumentationTok"/>
        </w:rPr>
        <w:t xml:space="preserve">##   ..$ taxa:'data.frame': 251 obs. of  500 variables:</w:t>
      </w:r>
      <w:r>
        <w:br/>
      </w:r>
      <w:r>
        <w:rPr>
          <w:rStyle w:val="DocumentationTok"/>
        </w:rPr>
        <w:t xml:space="preserve">##  $ Treatment2:List of 2</w:t>
      </w:r>
      <w:r>
        <w:br/>
      </w:r>
      <w:r>
        <w:rPr>
          <w:rStyle w:val="DocumentationTok"/>
        </w:rPr>
        <w:t xml:space="preserve">##   ..$ env :'data.frame': 124 obs. of  1 variable:</w:t>
      </w:r>
      <w:r>
        <w:br/>
      </w:r>
      <w:r>
        <w:rPr>
          <w:rStyle w:val="DocumentationTok"/>
        </w:rPr>
        <w:t xml:space="preserve">##   ..$ taxa:'data.frame': 124 obs. of  500 variables:</w:t>
      </w:r>
      <w:r>
        <w:br/>
      </w:r>
      <w:r>
        <w:rPr>
          <w:rStyle w:val="DocumentationTok"/>
        </w:rPr>
        <w:t xml:space="preserve">##  - attr(*, "minTaxonFreq")= num [1:2] 0 0</w:t>
      </w:r>
    </w:p>
    <w:p>
      <w:pPr>
        <w:pStyle w:val="FirstParagraph"/>
      </w:pPr>
      <w:r>
        <w:t xml:space="preserve">The return of</w:t>
      </w:r>
      <w:r>
        <w:t xml:space="preserve"> </w:t>
      </w:r>
      <w:r>
        <w:rPr>
          <w:rStyle w:val="VerbatimChar"/>
        </w:rPr>
        <w:t xml:space="preserve">permute</w:t>
      </w:r>
      <w:r>
        <w:t xml:space="preserve"> </w:t>
      </w:r>
      <w:r>
        <w:t xml:space="preserve">is list of lists. The first level denotes the treatment,</w:t>
      </w:r>
      <w:r>
        <w:t xml:space="preserve"> </w:t>
      </w:r>
      <w:r>
        <w:t xml:space="preserve">in this example Treatment1 is</w:t>
      </w:r>
      <w:r>
        <w:t xml:space="preserve"> </w:t>
      </w:r>
      <w:r>
        <w:t xml:space="preserve">“</w:t>
      </w:r>
      <w:r>
        <w:t xml:space="preserve">dry</w:t>
      </w:r>
      <w:r>
        <w:t xml:space="preserve">”</w:t>
      </w:r>
      <w:r>
        <w:t xml:space="preserve"> </w:t>
      </w:r>
      <w:r>
        <w:t xml:space="preserve">and Treatment2 is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– the order of</w:t>
      </w:r>
      <w:r>
        <w:t xml:space="preserve"> </w:t>
      </w:r>
      <w:r>
        <w:t xml:space="preserve">the input data sets. The second level contains the data.frames with</w:t>
      </w:r>
      <w:r>
        <w:t xml:space="preserve"> </w:t>
      </w:r>
      <w:r>
        <w:t xml:space="preserve">environmental and taxonomic data.</w:t>
      </w:r>
    </w:p>
    <w:bookmarkEnd w:id="27"/>
    <w:bookmarkStart w:id="28" w:name="running-titan2tita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Running</w:t>
      </w:r>
      <w:r>
        <w:t xml:space="preserve"> </w:t>
      </w:r>
      <w:r>
        <w:rPr>
          <w:rStyle w:val="VerbatimChar"/>
        </w:rPr>
        <w:t xml:space="preserve">TITAN2::titan</w:t>
      </w:r>
    </w:p>
    <w:p>
      <w:pPr>
        <w:pStyle w:val="FirstParagraph"/>
      </w:pPr>
      <w:r>
        <w:t xml:space="preserve">The most computationally expensive part of this work is calling</w:t>
      </w:r>
      <w:r>
        <w:t xml:space="preserve"> </w:t>
      </w:r>
      <w:r>
        <w:rPr>
          <w:rStyle w:val="VerbatimChar"/>
        </w:rPr>
        <w:t xml:space="preserve">TITAN2::titan</w:t>
      </w:r>
      <w:r>
        <w:t xml:space="preserve"> </w:t>
      </w:r>
      <w:r>
        <w:t xml:space="preserve">many, many times. A good option is to use the parallel</w:t>
      </w:r>
      <w:r>
        <w:t xml:space="preserve"> </w:t>
      </w:r>
      <w:r>
        <w:t xml:space="preserve">package to send the task of permuting the data and running</w:t>
      </w:r>
      <w:r>
        <w:t xml:space="preserve"> </w:t>
      </w:r>
      <w:r>
        <w:rPr>
          <w:rStyle w:val="VerbatimChar"/>
        </w:rPr>
        <w:t xml:space="preserve">TITAN2::titan()</w:t>
      </w:r>
      <w:r>
        <w:t xml:space="preserve"> </w:t>
      </w:r>
      <w:r>
        <w:t xml:space="preserve">to individual processing cores. That is system dependent and left to the end</w:t>
      </w:r>
      <w:r>
        <w:t xml:space="preserve"> </w:t>
      </w:r>
      <w:r>
        <w:t xml:space="preserve">user to implement. For an example of generating the permutations with</w:t>
      </w:r>
      <w:r>
        <w:t xml:space="preserve"> </w:t>
      </w:r>
      <w:r>
        <w:rPr>
          <w:rStyle w:val="VerbatimChar"/>
        </w:rPr>
        <w:t xml:space="preserve">TITAN2::titan()</w:t>
      </w:r>
      <w:r>
        <w:t xml:space="preserve"> </w:t>
      </w:r>
      <w:r>
        <w:t xml:space="preserve">see the example script provided at:</w:t>
      </w:r>
    </w:p>
    <w:p>
      <w:pPr>
        <w:pStyle w:val="SourceCode"/>
      </w:pP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"example-scripts/permutation_example.R"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"pTITAN2"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"/Users/pdewitt/Library/R/x86_64/4.1/library/pTITAN2/example-scripts/permutation_example.R"</w:t>
      </w:r>
    </w:p>
    <w:p>
      <w:pPr>
        <w:pStyle w:val="FirstParagraph"/>
      </w:pPr>
      <w:r>
        <w:t xml:space="preserve">That file will generate the provided data set</w:t>
      </w:r>
      <w:r>
        <w:t xml:space="preserve"> </w:t>
      </w:r>
      <w:r>
        <w:rPr>
          <w:rStyle w:val="VerbatimChar"/>
        </w:rPr>
        <w:t xml:space="preserve">permutation_example</w:t>
      </w:r>
      <w:r>
        <w:t xml:space="preserve"> </w:t>
      </w:r>
      <w:r>
        <w:t xml:space="preserve">with 10 rows</w:t>
      </w:r>
      <w:r>
        <w:t xml:space="preserve"> </w:t>
      </w:r>
      <w:r>
        <w:t xml:space="preserve">from 10 permutations of the example data set.</w:t>
      </w:r>
    </w:p>
    <w:p>
      <w:pPr>
        <w:pStyle w:val="SourceCode"/>
      </w:pPr>
      <w:r>
        <w:rPr>
          <w:rStyle w:val="NormalTok"/>
        </w:rPr>
        <w:t xml:space="preserve">permutation_example</w:t>
      </w:r>
      <w:r>
        <w:br/>
      </w:r>
      <w:r>
        <w:rPr>
          <w:rStyle w:val="DocumentationTok"/>
        </w:rPr>
        <w:t xml:space="preserve">##    trt1cpsumz- trt1cpsumz+ trt1count trt2cpsumz- trt2cpsumz+ trt2count</w:t>
      </w:r>
      <w:r>
        <w:br/>
      </w:r>
      <w:r>
        <w:rPr>
          <w:rStyle w:val="DocumentationTok"/>
        </w:rPr>
        <w:t xml:space="preserve">## 1   0.24450828   0.9322147       251  0.21052157   7.8379526       124</w:t>
      </w:r>
      <w:r>
        <w:br/>
      </w:r>
      <w:r>
        <w:rPr>
          <w:rStyle w:val="DocumentationTok"/>
        </w:rPr>
        <w:t xml:space="preserve">## 2   0.20733907   0.9322147       251  0.20307915   0.6447989       124</w:t>
      </w:r>
      <w:r>
        <w:br/>
      </w:r>
      <w:r>
        <w:rPr>
          <w:rStyle w:val="DocumentationTok"/>
        </w:rPr>
        <w:t xml:space="preserve">## 3   0.17739530   0.6017841       251  0.20532745   1.9463146       124</w:t>
      </w:r>
      <w:r>
        <w:br/>
      </w:r>
      <w:r>
        <w:rPr>
          <w:rStyle w:val="DocumentationTok"/>
        </w:rPr>
        <w:t xml:space="preserve">## 4   0.43918849   0.9195990       251  0.20949813   4.2981178       124</w:t>
      </w:r>
      <w:r>
        <w:br/>
      </w:r>
      <w:r>
        <w:rPr>
          <w:rStyle w:val="DocumentationTok"/>
        </w:rPr>
        <w:t xml:space="preserve">## 5   0.20733907   1.0749101       251  0.17238643   0.4298088       124</w:t>
      </w:r>
      <w:r>
        <w:br/>
      </w:r>
      <w:r>
        <w:rPr>
          <w:rStyle w:val="DocumentationTok"/>
        </w:rPr>
        <w:t xml:space="preserve">## 6   0.20941096   0.6012265       251  0.20675722   1.1443447       124</w:t>
      </w:r>
      <w:r>
        <w:br/>
      </w:r>
      <w:r>
        <w:rPr>
          <w:rStyle w:val="DocumentationTok"/>
        </w:rPr>
        <w:t xml:space="preserve">## 7   0.06755573   0.6014938       251  0.29043078   2.1666044       124</w:t>
      </w:r>
      <w:r>
        <w:br/>
      </w:r>
      <w:r>
        <w:rPr>
          <w:rStyle w:val="DocumentationTok"/>
        </w:rPr>
        <w:t xml:space="preserve">## 8   0.14227803   0.6222103       251  0.26105344   0.3336509       124</w:t>
      </w:r>
      <w:r>
        <w:br/>
      </w:r>
      <w:r>
        <w:rPr>
          <w:rStyle w:val="DocumentationTok"/>
        </w:rPr>
        <w:t xml:space="preserve">## 9   0.22585229   0.6017841       251  0.07078791  10.5727762       124</w:t>
      </w:r>
      <w:r>
        <w:br/>
      </w:r>
      <w:r>
        <w:rPr>
          <w:rStyle w:val="DocumentationTok"/>
        </w:rPr>
        <w:t xml:space="preserve">## 10  0.24486085   0.6017841       251  0.21857924   2.0596616       124</w:t>
      </w:r>
      <w:r>
        <w:br/>
      </w:r>
      <w:r>
        <w:rPr>
          <w:rStyle w:val="DocumentationTok"/>
        </w:rPr>
        <w:t xml:space="preserve">##    permutation</w:t>
      </w:r>
      <w:r>
        <w:br/>
      </w:r>
      <w:r>
        <w:rPr>
          <w:rStyle w:val="DocumentationTok"/>
        </w:rPr>
        <w:t xml:space="preserve">## 1            1</w:t>
      </w:r>
      <w:r>
        <w:br/>
      </w:r>
      <w:r>
        <w:rPr>
          <w:rStyle w:val="DocumentationTok"/>
        </w:rPr>
        <w:t xml:space="preserve">## 2            2</w:t>
      </w:r>
      <w:r>
        <w:br/>
      </w:r>
      <w:r>
        <w:rPr>
          <w:rStyle w:val="DocumentationTok"/>
        </w:rPr>
        <w:t xml:space="preserve">## 3            3</w:t>
      </w:r>
      <w:r>
        <w:br/>
      </w:r>
      <w:r>
        <w:rPr>
          <w:rStyle w:val="DocumentationTok"/>
        </w:rPr>
        <w:t xml:space="preserve">## 4            4</w:t>
      </w:r>
      <w:r>
        <w:br/>
      </w:r>
      <w:r>
        <w:rPr>
          <w:rStyle w:val="DocumentationTok"/>
        </w:rPr>
        <w:t xml:space="preserve">## 5            5</w:t>
      </w:r>
      <w:r>
        <w:br/>
      </w:r>
      <w:r>
        <w:rPr>
          <w:rStyle w:val="DocumentationTok"/>
        </w:rPr>
        <w:t xml:space="preserve">## 6            6</w:t>
      </w:r>
      <w:r>
        <w:br/>
      </w:r>
      <w:r>
        <w:rPr>
          <w:rStyle w:val="DocumentationTok"/>
        </w:rPr>
        <w:t xml:space="preserve">## 7            7</w:t>
      </w:r>
      <w:r>
        <w:br/>
      </w:r>
      <w:r>
        <w:rPr>
          <w:rStyle w:val="DocumentationTok"/>
        </w:rPr>
        <w:t xml:space="preserve">## 8            8</w:t>
      </w:r>
      <w:r>
        <w:br/>
      </w:r>
      <w:r>
        <w:rPr>
          <w:rStyle w:val="DocumentationTok"/>
        </w:rPr>
        <w:t xml:space="preserve">## 9            9</w:t>
      </w:r>
      <w:r>
        <w:br/>
      </w:r>
      <w:r>
        <w:rPr>
          <w:rStyle w:val="DocumentationTok"/>
        </w:rPr>
        <w:t xml:space="preserve">## 10          10</w:t>
      </w:r>
    </w:p>
    <w:p>
      <w:pPr>
        <w:pStyle w:val="FirstParagraph"/>
      </w:pPr>
      <w:r>
        <w:t xml:space="preserve">The results are the increasing and decreasing taxa sumz values. In this example only four permutations are</w:t>
      </w:r>
      <w:r>
        <w:t xml:space="preserve"> </w:t>
      </w:r>
      <w:r>
        <w:t xml:space="preserve">used and TITAN bootstrapping is limited to five iterations. In an actual analysis these values should</w:t>
      </w:r>
      <w:r>
        <w:t xml:space="preserve"> </w:t>
      </w:r>
      <w:r>
        <w:t xml:space="preserve">be much higher. This process is very computationally intensive and can take hours or days to run</w:t>
      </w:r>
      <w:r>
        <w:t xml:space="preserve"> </w:t>
      </w:r>
      <w:r>
        <w:t xml:space="preserve">depending on the available computing power and the number of bootstraps and permutations used.</w:t>
      </w:r>
    </w:p>
    <w:p>
      <w:pPr>
        <w:pStyle w:val="BodyText"/>
      </w:pPr>
      <w:r>
        <w:t xml:space="preserve">If you have three or more treatments and need to permute over them with the</w:t>
      </w:r>
      <w:r>
        <w:t xml:space="preserve"> </w:t>
      </w:r>
      <w:r>
        <w:t xml:space="preserve">condition that no station will be in the same treatment more than once on any</w:t>
      </w:r>
      <w:r>
        <w:t xml:space="preserve"> </w:t>
      </w:r>
      <w:r>
        <w:t xml:space="preserve">particular permutation and that all treatment labels are viable for each</w:t>
      </w:r>
      <w:r>
        <w:t xml:space="preserve"> </w:t>
      </w:r>
      <w:r>
        <w:t xml:space="preserve">station then you can still use the</w:t>
      </w:r>
      <w:r>
        <w:t xml:space="preserve"> </w:t>
      </w:r>
      <w:r>
        <w:rPr>
          <w:rStyle w:val="VerbatimChar"/>
        </w:rPr>
        <w:t xml:space="preserve">permute</w:t>
      </w:r>
      <w:r>
        <w:t xml:space="preserve"> </w:t>
      </w:r>
      <w:r>
        <w:t xml:space="preserve">function.</w:t>
      </w:r>
    </w:p>
    <w:bookmarkEnd w:id="28"/>
    <w:bookmarkStart w:id="29" w:name="analyzing-the-result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Analyzing the results</w:t>
      </w:r>
    </w:p>
    <w:p>
      <w:pPr>
        <w:pStyle w:val="FirstParagraph"/>
      </w:pPr>
      <w:r>
        <w:t xml:space="preserve">The output from the above code chunk can then be used to compare the differences in change-point</w:t>
      </w:r>
      <w:r>
        <w:t xml:space="preserve"> </w:t>
      </w:r>
      <w:r>
        <w:t xml:space="preserve">values for treatments from the observed samples versus the permuted samples. A p-value test can be</w:t>
      </w:r>
      <w:r>
        <w:t xml:space="preserve"> </w:t>
      </w:r>
      <w:r>
        <w:t xml:space="preserve">run on these data to test for statistically significant differences between the treatment effects.</w:t>
      </w:r>
    </w:p>
    <w:p>
      <w:pPr>
        <w:pStyle w:val="SourceCode"/>
      </w:pPr>
      <w:r>
        <w:rPr>
          <w:rStyle w:val="CommentTok"/>
        </w:rPr>
        <w:t xml:space="preserve"># Run TITAN on the observed data</w:t>
      </w:r>
      <w:r>
        <w:br/>
      </w:r>
      <w:r>
        <w:rPr>
          <w:rStyle w:val="CommentTok"/>
        </w:rPr>
        <w:t xml:space="preserve"># limited to 2 cores for CRAN policies, end users can use more cores</w:t>
      </w:r>
      <w:r>
        <w:br/>
      </w:r>
      <w:r>
        <w:rPr>
          <w:rStyle w:val="CommentTok"/>
        </w:rPr>
        <w:t xml:space="preserve"># the following uses the tidyverse dialect, load and attach the magrittr</w:t>
      </w:r>
      <w:r>
        <w:br/>
      </w:r>
      <w:r>
        <w:rPr>
          <w:rStyle w:val="CommentTok"/>
        </w:rPr>
        <w:t xml:space="preserve"># namespace, use dplyr and tidyr namespaces explicitly.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br/>
      </w:r>
      <w:r>
        <w:rPr>
          <w:rStyle w:val="NormalTok"/>
        </w:rPr>
        <w:t xml:space="preserve">CD_obs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TITAN2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env     =</w:t>
      </w:r>
      <w:r>
        <w:rPr>
          <w:rStyle w:val="NormalTok"/>
        </w:rPr>
        <w:t xml:space="preserve"> C_IC_D_06_wID[[</w:t>
      </w:r>
      <w:r>
        <w:rPr>
          <w:rStyle w:val="StringTok"/>
        </w:rPr>
        <w:t xml:space="preserve">"ImpCover"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chaparral envgrad dry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txa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(CD_06_Mall_wID,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occurrences</w:t>
      </w:r>
      <w:r>
        <w:rPr>
          <w:rStyle w:val="NormalTok"/>
        </w:rPr>
        <w:t xml:space="preserve">(CD_06_Mall_wID[,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6L)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ncpus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numPerm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nBoot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DocumentationTok"/>
        </w:rPr>
        <w:t xml:space="preserve">## Screening taxa...</w:t>
      </w:r>
      <w:r>
        <w:br/>
      </w:r>
      <w:r>
        <w:rPr>
          <w:rStyle w:val="DocumentationTok"/>
        </w:rPr>
        <w:t xml:space="preserve">##   taxa frequency screen complete.</w:t>
      </w:r>
      <w:r>
        <w:br/>
      </w:r>
      <w:r>
        <w:rPr>
          <w:rStyle w:val="DocumentationTok"/>
        </w:rPr>
        <w:t xml:space="preserve">## Partitioning along gradient...</w:t>
      </w:r>
      <w:r>
        <w:br/>
      </w:r>
      <w:r>
        <w:rPr>
          <w:rStyle w:val="DocumentationTok"/>
        </w:rPr>
        <w:t xml:space="preserve">## Calculating observed IndVal maxima and class values...</w:t>
      </w:r>
      <w:r>
        <w:br/>
      </w:r>
      <w:r>
        <w:rPr>
          <w:rStyle w:val="DocumentationTok"/>
        </w:rPr>
        <w:t xml:space="preserve">## Calculating IndVals using mean relative abundance...</w:t>
      </w:r>
      <w:r>
        <w:br/>
      </w:r>
      <w:r>
        <w:rPr>
          <w:rStyle w:val="DocumentationTok"/>
        </w:rPr>
        <w:t xml:space="preserve">## Permuting IndVal scores...</w:t>
      </w:r>
      <w:r>
        <w:br/>
      </w:r>
      <w:r>
        <w:rPr>
          <w:rStyle w:val="DocumentationTok"/>
        </w:rPr>
        <w:t xml:space="preserve">## Summarizing observed results...</w:t>
      </w:r>
      <w:r>
        <w:br/>
      </w:r>
      <w:r>
        <w:rPr>
          <w:rStyle w:val="DocumentationTok"/>
        </w:rPr>
        <w:t xml:space="preserve">## Estimating taxa change points using z-score maxima...</w:t>
      </w:r>
      <w:r>
        <w:br/>
      </w:r>
      <w:r>
        <w:rPr>
          <w:rStyle w:val="DocumentationTok"/>
        </w:rPr>
        <w:t xml:space="preserve">## Bootstrap resampling in parallel using 2 CPUs... no index will be printed to screen.</w:t>
      </w:r>
      <w:r>
        <w:br/>
      </w:r>
      <w:r>
        <w:rPr>
          <w:rStyle w:val="DocumentationTok"/>
        </w:rPr>
        <w:t xml:space="preserve">## Proportion of pure and reliable taxa = 0.5732</w:t>
      </w:r>
      <w:r>
        <w:br/>
      </w:r>
      <w:r>
        <w:br/>
      </w:r>
      <w:r>
        <w:rPr>
          <w:rStyle w:val="NormalTok"/>
        </w:rPr>
        <w:t xml:space="preserve">CN_obs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TITAN2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env     =</w:t>
      </w:r>
      <w:r>
        <w:rPr>
          <w:rStyle w:val="NormalTok"/>
        </w:rPr>
        <w:t xml:space="preserve"> C_IC_N_06_wID[[</w:t>
      </w:r>
      <w:r>
        <w:rPr>
          <w:rStyle w:val="StringTok"/>
        </w:rPr>
        <w:t xml:space="preserve">"ImpCover"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chaparral envgrad dry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txa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(CN_06_Mall_wID,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occurrences</w:t>
      </w:r>
      <w:r>
        <w:rPr>
          <w:rStyle w:val="NormalTok"/>
        </w:rPr>
        <w:t xml:space="preserve">(CN_06_Mall_wID[,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6L)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ncpus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numPerm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nBoot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DocumentationTok"/>
        </w:rPr>
        <w:t xml:space="preserve">## Screening taxa...</w:t>
      </w:r>
      <w:r>
        <w:br/>
      </w:r>
      <w:r>
        <w:rPr>
          <w:rStyle w:val="DocumentationTok"/>
        </w:rPr>
        <w:t xml:space="preserve">##   taxa frequency screen complete.</w:t>
      </w:r>
      <w:r>
        <w:br/>
      </w:r>
      <w:r>
        <w:rPr>
          <w:rStyle w:val="DocumentationTok"/>
        </w:rPr>
        <w:t xml:space="preserve">## Partitioning along gradient...</w:t>
      </w:r>
      <w:r>
        <w:br/>
      </w:r>
      <w:r>
        <w:rPr>
          <w:rStyle w:val="DocumentationTok"/>
        </w:rPr>
        <w:t xml:space="preserve">## Calculating observed IndVal maxima and class values...</w:t>
      </w:r>
      <w:r>
        <w:br/>
      </w:r>
      <w:r>
        <w:rPr>
          <w:rStyle w:val="DocumentationTok"/>
        </w:rPr>
        <w:t xml:space="preserve">## Calculating IndVals using mean relative abundance...</w:t>
      </w:r>
      <w:r>
        <w:br/>
      </w:r>
      <w:r>
        <w:rPr>
          <w:rStyle w:val="DocumentationTok"/>
        </w:rPr>
        <w:t xml:space="preserve">## Permuting IndVal scores...</w:t>
      </w:r>
      <w:r>
        <w:br/>
      </w:r>
      <w:r>
        <w:rPr>
          <w:rStyle w:val="DocumentationTok"/>
        </w:rPr>
        <w:t xml:space="preserve">## Summarizing observed results...</w:t>
      </w:r>
      <w:r>
        <w:br/>
      </w:r>
      <w:r>
        <w:rPr>
          <w:rStyle w:val="DocumentationTok"/>
        </w:rPr>
        <w:t xml:space="preserve">## Estimating taxa change points using z-score maxima...</w:t>
      </w:r>
      <w:r>
        <w:br/>
      </w:r>
      <w:r>
        <w:rPr>
          <w:rStyle w:val="DocumentationTok"/>
        </w:rPr>
        <w:t xml:space="preserve">## Bootstrap resampling in parallel using 2 CPUs... no index will be printed to screen.</w:t>
      </w:r>
      <w:r>
        <w:br/>
      </w:r>
      <w:r>
        <w:rPr>
          <w:rStyle w:val="DocumentationTok"/>
        </w:rPr>
        <w:t xml:space="preserve">## Proportion of pure and reliable taxa = 0.1129</w:t>
      </w:r>
    </w:p>
    <w:p>
      <w:pPr>
        <w:pStyle w:val="SourceCode"/>
      </w:pPr>
      <w:r>
        <w:rPr>
          <w:rStyle w:val="CommentTok"/>
        </w:rPr>
        <w:t xml:space="preserve"># create a table of the median change point from TITAN for calculating the p-values</w:t>
      </w:r>
      <w:r>
        <w:br/>
      </w:r>
      <w:r>
        <w:rPr>
          <w:rStyle w:val="NormalTok"/>
        </w:rPr>
        <w:t xml:space="preserve">TITAN_med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(CD_obs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sumz),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"Tr1_CD"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,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(CN_obs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sumz),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"Tr2_CN"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TITAN_med[[</w:t>
      </w:r>
      <w:r>
        <w:rPr>
          <w:rStyle w:val="StringTok"/>
        </w:rPr>
        <w:t xml:space="preserve">"sumz"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"(.+)(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d)$"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(TITAN_med))</w:t>
      </w:r>
      <w:r>
        <w:br/>
      </w:r>
      <w:r>
        <w:br/>
      </w:r>
      <w:r>
        <w:br/>
      </w:r>
      <w:r>
        <w:rPr>
          <w:rStyle w:val="NormalTok"/>
        </w:rPr>
        <w:t xml:space="preserve">TITAN_med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TITAN_med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(run, sumz,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0.50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run,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T1T2_abs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(Tr1_CD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Tr2_CN))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print</w:t>
      </w:r>
      <w:r>
        <w:br/>
      </w:r>
      <w:r>
        <w:rPr>
          <w:rStyle w:val="DocumentationTok"/>
        </w:rPr>
        <w:t xml:space="preserve">## # A tibble: 4 × 4</w:t>
      </w:r>
      <w:r>
        <w:br/>
      </w:r>
      <w:r>
        <w:rPr>
          <w:rStyle w:val="DocumentationTok"/>
        </w:rPr>
        <w:t xml:space="preserve">##   sumz   Tr1_CD Tr2_CN T1T2_abs</w:t>
      </w:r>
      <w:r>
        <w:br/>
      </w:r>
      <w:r>
        <w:rPr>
          <w:rStyle w:val="DocumentationTok"/>
        </w:rPr>
        <w:t xml:space="preserve">##   &lt;chr&gt;   &lt;dbl&gt;  &lt;dbl&gt;    &lt;dbl&gt;</w:t>
      </w:r>
      <w:r>
        <w:br/>
      </w:r>
      <w:r>
        <w:rPr>
          <w:rStyle w:val="DocumentationTok"/>
        </w:rPr>
        <w:t xml:space="preserve">## 1 sumz-   0.259 0.0851    0.174</w:t>
      </w:r>
      <w:r>
        <w:br/>
      </w:r>
      <w:r>
        <w:rPr>
          <w:rStyle w:val="DocumentationTok"/>
        </w:rPr>
        <w:t xml:space="preserve">## 2 sumz+   0.782 3.74      2.96 </w:t>
      </w:r>
      <w:r>
        <w:br/>
      </w:r>
      <w:r>
        <w:rPr>
          <w:rStyle w:val="DocumentationTok"/>
        </w:rPr>
        <w:t xml:space="preserve">## 3 fsumz-  0.280 0.0605    0.219</w:t>
      </w:r>
      <w:r>
        <w:br/>
      </w:r>
      <w:r>
        <w:rPr>
          <w:rStyle w:val="DocumentationTok"/>
        </w:rPr>
        <w:t xml:space="preserve">## 4 fsumz+  0.602 2.59      1.98</w:t>
      </w:r>
    </w:p>
    <w:p>
      <w:pPr>
        <w:pStyle w:val="SourceCode"/>
      </w:pPr>
      <w:r>
        <w:rPr>
          <w:rStyle w:val="CommentTok"/>
        </w:rPr>
        <w:t xml:space="preserve"># Create a summary table of the permutation data</w:t>
      </w:r>
      <w:r>
        <w:br/>
      </w:r>
      <w:r>
        <w:rPr>
          <w:rStyle w:val="NormalTok"/>
        </w:rPr>
        <w:t xml:space="preserve">tr1_filt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permutation_example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(permutation,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trt1cpsumz-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trt1cpsumz+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trt1cpsumz-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trt1cpsumz+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"Tr1_CD"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"sumz"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tr1_filt[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(tr1_filt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"trt1cpsumz-"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"fsumz-"</w:t>
      </w:r>
      <w:r>
        <w:br/>
      </w:r>
      <w:r>
        <w:rPr>
          <w:rStyle w:val="NormalTok"/>
        </w:rPr>
        <w:t xml:space="preserve">tr1_filt[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(tr1_filt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"trt1cpsumz+"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"fsumz+"</w:t>
      </w:r>
      <w:r>
        <w:br/>
      </w:r>
      <w:r>
        <w:br/>
      </w:r>
      <w:r>
        <w:rPr>
          <w:rStyle w:val="NormalTok"/>
        </w:rPr>
        <w:t xml:space="preserve">tr2_filt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permutation_example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(permutation,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trt2cpsumz-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trt2cpsumz+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trt2cpsumz-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trt2cpsumz+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"Tr2_CN"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tr2_filt[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(tr2_filt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"trt2cpsumz-"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"fsumz-"</w:t>
      </w:r>
      <w:r>
        <w:br/>
      </w:r>
      <w:r>
        <w:rPr>
          <w:rStyle w:val="NormalTok"/>
        </w:rPr>
        <w:t xml:space="preserve">tr2_filt[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(tr2_filt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"trt2cpsumz+"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"fsumz+"</w:t>
      </w:r>
      <w:r>
        <w:br/>
      </w:r>
      <w:r>
        <w:br/>
      </w:r>
      <w:r>
        <w:br/>
      </w:r>
      <w:r>
        <w:rPr>
          <w:rStyle w:val="CommentTok"/>
        </w:rPr>
        <w:t xml:space="preserve"># mutate the data and create a summary table for calculating p-values</w:t>
      </w:r>
      <w:r>
        <w:br/>
      </w:r>
      <w:r>
        <w:rPr>
          <w:rStyle w:val="NormalTok"/>
        </w:rPr>
        <w:t xml:space="preserve">out_perm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(tr1_filt, tr2_filt)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T1T2_abs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(Tr1_CD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Tr2_CN))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permutation)</w:t>
      </w:r>
      <w:r>
        <w:br/>
      </w:r>
      <w:r>
        <w:rPr>
          <w:rStyle w:val="DocumentationTok"/>
        </w:rPr>
        <w:t xml:space="preserve">## Joining, by = c("permutation", "sumz")</w:t>
      </w:r>
      <w:r>
        <w:br/>
      </w:r>
      <w:r>
        <w:br/>
      </w:r>
      <w:r>
        <w:rPr>
          <w:rStyle w:val="CommentTok"/>
        </w:rPr>
        <w:t xml:space="preserve"># Calulate the p-values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"T1T2_CDCN"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"fsumz-"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br/>
      </w:r>
      <w:r>
        <w:rPr>
          <w:rStyle w:val="NormalTok"/>
        </w:rPr>
        <w:t xml:space="preserve"> 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(out_perm, 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"fsumz-"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T1T2_abs </w:t>
      </w:r>
      <w:r>
        <w:rPr>
          <w:rStyle w:val="SpecialCharTok"/>
        </w:rPr>
        <w:t xml:space="preserve">&gt;</w:t>
      </w:r>
      <w:r>
        <w:br/>
      </w:r>
      <w:r>
        <w:rPr>
          <w:rStyle w:val="NormalTok"/>
        </w:rPr>
        <w:t xml:space="preserve">                               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(TITAN_med, 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"fsumz-"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T1T2_abs)</w:t>
      </w:r>
      <w:r>
        <w:br/>
      </w:r>
      <w:r>
        <w:rPr>
          <w:rStyle w:val="NormalTok"/>
        </w:rPr>
        <w:t xml:space="preserve">                   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"fsumz+"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br/>
      </w:r>
      <w:r>
        <w:rPr>
          <w:rStyle w:val="NormalTok"/>
        </w:rPr>
        <w:t xml:space="preserve">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(out_perm, 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"fsumz+"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T1T2_abs </w:t>
      </w:r>
      <w:r>
        <w:rPr>
          <w:rStyle w:val="SpecialCharTok"/>
        </w:rPr>
        <w:t xml:space="preserve">&gt;</w:t>
      </w:r>
      <w:r>
        <w:br/>
      </w:r>
      <w:r>
        <w:rPr>
          <w:rStyle w:val="NormalTok"/>
        </w:rPr>
        <w:t xml:space="preserve">                    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(TITAN_med, sumz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"fsumz+"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T1T2_abs)</w:t>
      </w:r>
      <w:r>
        <w:br/>
      </w:r>
      <w:r>
        <w:rPr>
          <w:rStyle w:val="NormalTok"/>
        </w:rPr>
        <w:t xml:space="preserve">        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# A tibble: 1 × 3</w:t>
      </w:r>
      <w:r>
        <w:br/>
      </w:r>
      <w:r>
        <w:rPr>
          <w:rStyle w:val="DocumentationTok"/>
        </w:rPr>
        <w:t xml:space="preserve">##   treatment `fsumz-` `fsumz+`</w:t>
      </w:r>
      <w:r>
        <w:br/>
      </w:r>
      <w:r>
        <w:rPr>
          <w:rStyle w:val="DocumentationTok"/>
        </w:rPr>
        <w:t xml:space="preserve">##   &lt;chr&gt;        &lt;dbl&gt;    &lt;dbl&gt;</w:t>
      </w:r>
      <w:r>
        <w:br/>
      </w:r>
      <w:r>
        <w:rPr>
          <w:rStyle w:val="DocumentationTok"/>
        </w:rPr>
        <w:t xml:space="preserve">## 1 T1T2_CDCN  0.00300  0.00400</w:t>
      </w:r>
    </w:p>
    <w:bookmarkEnd w:id="29"/>
    <w:bookmarkEnd w:id="30"/>
    <w:bookmarkStart w:id="31" w:name="conclusion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Conclusions</w:t>
      </w:r>
    </w:p>
    <w:p>
      <w:pPr>
        <w:pStyle w:val="FirstParagraph"/>
      </w:pPr>
      <w:r>
        <w:t xml:space="preserve">TITAN is used in ecological studies to determine individual taxa and community</w:t>
      </w:r>
      <w:r>
        <w:t xml:space="preserve"> </w:t>
      </w:r>
      <w:r>
        <w:t xml:space="preserve">level change points across an environmental gradient for both taxa that increase</w:t>
      </w:r>
      <w:r>
        <w:t xml:space="preserve"> </w:t>
      </w:r>
      <w:r>
        <w:t xml:space="preserve">with the increasing environmental gradient and taxa that decrease with the</w:t>
      </w:r>
      <w:r>
        <w:t xml:space="preserve"> </w:t>
      </w:r>
      <w:r>
        <w:t xml:space="preserve">increasing environmental gradient</w:t>
      </w:r>
      <w:r>
        <w:t xml:space="preserve"> </w:t>
      </w:r>
      <w:r>
        <w:t xml:space="preserve">(Matthew E. Baker and King 2010)</w:t>
      </w:r>
      <w:r>
        <w:t xml:space="preserve">. pTITAN2 was developed</w:t>
      </w:r>
      <w:r>
        <w:t xml:space="preserve"> </w:t>
      </w:r>
      <w:r>
        <w:t xml:space="preserve">as an extension of TITAN to enable comparing TITAN results between different</w:t>
      </w:r>
      <w:r>
        <w:t xml:space="preserve"> </w:t>
      </w:r>
      <w:r>
        <w:t xml:space="preserve">treatments, including those with variable sample sizes, by permuting the</w:t>
      </w:r>
      <w:r>
        <w:t xml:space="preserve"> </w:t>
      </w:r>
      <w:r>
        <w:t xml:space="preserve">observed data between the treatments and then rerunning TITAN on the permuted</w:t>
      </w:r>
      <w:r>
        <w:t xml:space="preserve"> </w:t>
      </w:r>
      <w:r>
        <w:t xml:space="preserve">dataset. This allows for statistically determining difference between the</w:t>
      </w:r>
      <w:r>
        <w:t xml:space="preserve"> </w:t>
      </w:r>
      <w:r>
        <w:t xml:space="preserve">treatments without using overlapping confidence intervals, which can be</w:t>
      </w:r>
      <w:r>
        <w:t xml:space="preserve"> </w:t>
      </w:r>
      <w:r>
        <w:t xml:space="preserve">problematic and can lead to accepting the null hypothesis more frequently than</w:t>
      </w:r>
      <w:r>
        <w:t xml:space="preserve"> </w:t>
      </w:r>
      <w:r>
        <w:t xml:space="preserve">statistically necessary.</w:t>
      </w:r>
    </w:p>
    <w:bookmarkEnd w:id="31"/>
    <w:bookmarkStart w:id="33" w:name="dat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Data</w:t>
      </w:r>
    </w:p>
    <w:p>
      <w:pPr>
        <w:pStyle w:val="FirstParagraph"/>
      </w:pPr>
      <w:r>
        <w:t xml:space="preserve">Data associated with figures in this manuscript will be available via a query</w:t>
      </w:r>
      <w:r>
        <w:t xml:space="preserve"> </w:t>
      </w:r>
      <w:r>
        <w:t xml:space="preserve">available at the url:</w:t>
      </w:r>
      <w:r>
        <w:t xml:space="preserve"> </w:t>
      </w:r>
      <w:hyperlink r:id="rId32">
        <w:r>
          <w:rPr>
            <w:rStyle w:val="Hyperlink"/>
          </w:rPr>
          <w:t xml:space="preserve">https://edg.epa.gov/metadata/catalog/main/home.page</w:t>
        </w:r>
      </w:hyperlink>
      <w:r>
        <w:t xml:space="preserve"> </w:t>
      </w:r>
      <w:r>
        <w:t xml:space="preserve">within a few months of publication.</w:t>
      </w:r>
    </w:p>
    <w:bookmarkEnd w:id="33"/>
    <w:bookmarkStart w:id="36" w:name="software-availability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Software availability</w:t>
      </w:r>
    </w:p>
    <w:p>
      <w:pPr>
        <w:pStyle w:val="FirstParagraph"/>
      </w:pPr>
      <w:r>
        <w:t xml:space="preserve">The pTITAN2 R package is available from the Comprehensive R Archive Network</w:t>
      </w:r>
      <w:r>
        <w:t xml:space="preserve"> </w:t>
      </w:r>
      <w:r>
        <w:t xml:space="preserve">(CRAN) at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https://cran.r-project.org/package=pTITAN2</w:t>
        </w:r>
      </w:hyperlink>
      <w:r>
        <w:t xml:space="preserve">.</w:t>
      </w:r>
      <w:r>
        <w:t xml:space="preserve"> </w:t>
      </w:r>
      <w:r>
        <w:t xml:space="preserve">Source code and example datasets are available at</w:t>
      </w:r>
      <w:r>
        <w:t xml:space="preserve"> </w:t>
      </w:r>
      <w:hyperlink r:id="rId35">
        <w:r>
          <w:rPr>
            <w:rStyle w:val="Hyperlink"/>
          </w:rPr>
          <w:t xml:space="preserve">https://github.com/sfigary/pTITAN2</w:t>
        </w:r>
      </w:hyperlink>
      <w:r>
        <w:t xml:space="preserve">.</w:t>
      </w:r>
      <w:r>
        <w:t xml:space="preserve"> </w:t>
      </w:r>
      <w:r>
        <w:t xml:space="preserve">This is an open-access article, free of all copyright, and may be</w:t>
      </w:r>
      <w:r>
        <w:t xml:space="preserve"> </w:t>
      </w:r>
      <w:r>
        <w:t xml:space="preserve">freely reproduced, distributed, transmitted, modified, built upon, or otherwise</w:t>
      </w:r>
      <w:r>
        <w:t xml:space="preserve"> </w:t>
      </w:r>
      <w:r>
        <w:t xml:space="preserve">used by anyone for any lawful purpose. The work is made available under the</w:t>
      </w:r>
      <w:r>
        <w:t xml:space="preserve"> </w:t>
      </w:r>
      <w:r>
        <w:t xml:space="preserve">Creative Commons CC0 public domain dedication.</w:t>
      </w:r>
    </w:p>
    <w:bookmarkEnd w:id="36"/>
    <w:bookmarkStart w:id="37" w:name="author-contribution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Author Contributions</w:t>
      </w:r>
    </w:p>
    <w:p>
      <w:pPr>
        <w:numPr>
          <w:ilvl w:val="0"/>
          <w:numId w:val="1003"/>
        </w:numPr>
        <w:pStyle w:val="Compact"/>
      </w:pPr>
      <w:r>
        <w:t xml:space="preserve">Stephanie Figary: Data curation, Methodology, Software, Formal Analysis, Writing</w:t>
      </w:r>
    </w:p>
    <w:p>
      <w:pPr>
        <w:numPr>
          <w:ilvl w:val="0"/>
          <w:numId w:val="1003"/>
        </w:numPr>
        <w:pStyle w:val="Compact"/>
      </w:pPr>
      <w:r>
        <w:t xml:space="preserve">Naomi Detenbeck: Conceptualization, Funding Acquisition, Writing, Supervision</w:t>
      </w:r>
    </w:p>
    <w:p>
      <w:pPr>
        <w:numPr>
          <w:ilvl w:val="0"/>
          <w:numId w:val="1003"/>
        </w:numPr>
        <w:pStyle w:val="Compact"/>
      </w:pPr>
      <w:r>
        <w:t xml:space="preserve">Peter DeWitt: Software development, Writing</w:t>
      </w:r>
    </w:p>
    <w:bookmarkEnd w:id="37"/>
    <w:bookmarkStart w:id="38" w:name="competing-interest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Competing Interests</w:t>
      </w:r>
    </w:p>
    <w:p>
      <w:pPr>
        <w:pStyle w:val="FirstParagraph"/>
      </w:pPr>
      <w:r>
        <w:t xml:space="preserve">No competing interests were disclosed</w:t>
      </w:r>
    </w:p>
    <w:bookmarkEnd w:id="38"/>
    <w:bookmarkStart w:id="39" w:name="grant-information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Grant Information</w:t>
      </w:r>
    </w:p>
    <w:p>
      <w:pPr>
        <w:pStyle w:val="FirstParagraph"/>
      </w:pPr>
      <w:r>
        <w:t xml:space="preserve">This work was partially supported by the U.S. Environmental Protection Agency</w:t>
      </w:r>
      <w:r>
        <w:t xml:space="preserve"> </w:t>
      </w:r>
      <w:r>
        <w:t xml:space="preserve">via an interagency agreement with the Department of Energy (DW92429801-9) which</w:t>
      </w:r>
      <w:r>
        <w:t xml:space="preserve"> </w:t>
      </w:r>
      <w:r>
        <w:t xml:space="preserve">provided funding to Stephanie Figary through the ORISE program and through</w:t>
      </w:r>
      <w:r>
        <w:t xml:space="preserve"> </w:t>
      </w:r>
      <w:r>
        <w:t xml:space="preserve">funding on the EPA contract EP-C-13-022 with Neptune, supporting software</w:t>
      </w:r>
      <w:r>
        <w:t xml:space="preserve"> </w:t>
      </w:r>
      <w:r>
        <w:t xml:space="preserve">development.</w:t>
      </w:r>
    </w:p>
    <w:bookmarkEnd w:id="39"/>
    <w:bookmarkStart w:id="40" w:name="acknowledgment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Acknowledgments</w:t>
      </w:r>
    </w:p>
    <w:p>
      <w:pPr>
        <w:pStyle w:val="FirstParagraph"/>
      </w:pPr>
      <w:r>
        <w:t xml:space="preserve">This is contribution number ORD-041368 of the Atlantic Coastal Environmental</w:t>
      </w:r>
      <w:r>
        <w:t xml:space="preserve"> </w:t>
      </w:r>
      <w:r>
        <w:t xml:space="preserve">Sciences Division, Center for Environmental Measurement and Modeling, Office of</w:t>
      </w:r>
      <w:r>
        <w:t xml:space="preserve"> </w:t>
      </w:r>
      <w:r>
        <w:t xml:space="preserve">Research and Development, U.S. Environmental Protection Agency. Mention of trade</w:t>
      </w:r>
      <w:r>
        <w:t xml:space="preserve"> </w:t>
      </w:r>
      <w:r>
        <w:t xml:space="preserve">names or commercial products does not constitute endorsement or recommendation</w:t>
      </w:r>
      <w:r>
        <w:t xml:space="preserve"> </w:t>
      </w:r>
      <w:r>
        <w:t xml:space="preserve">for use.</w:t>
      </w:r>
    </w:p>
    <w:bookmarkEnd w:id="40"/>
    <w:bookmarkStart w:id="58" w:name="reference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References</w:t>
      </w:r>
    </w:p>
    <w:bookmarkStart w:id="57" w:name="refs"/>
    <w:bookmarkStart w:id="42" w:name="ref-R-TITAN2"/>
    <w:p>
      <w:pPr>
        <w:pStyle w:val="Bibliography"/>
      </w:pPr>
      <w:r>
        <w:t xml:space="preserve">Baker, Matthew E., Ryan S. King, and David Kahle. 2020.</w:t>
      </w:r>
      <w:r>
        <w:t xml:space="preserve"> </w:t>
      </w:r>
      <w:r>
        <w:rPr>
          <w:iCs/>
          <w:i/>
        </w:rPr>
        <w:t xml:space="preserve">Titan2: Threshold Indicator Taxa Analysis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https://CRAN.R-project.org/package=TITAN2</w:t>
        </w:r>
      </w:hyperlink>
      <w:r>
        <w:t xml:space="preserve">.</w:t>
      </w:r>
    </w:p>
    <w:bookmarkEnd w:id="42"/>
    <w:bookmarkStart w:id="43" w:name="ref-baker2010new"/>
    <w:p>
      <w:pPr>
        <w:pStyle w:val="Bibliography"/>
      </w:pPr>
      <w:r>
        <w:t xml:space="preserve">Baker, Matthew E, and Ryan S King. 2010.</w:t>
      </w:r>
      <w:r>
        <w:t xml:space="preserve"> </w:t>
      </w:r>
      <w:r>
        <w:t xml:space="preserve">“A New Method for Detecting and Interpreting Biodiversity and Ecological Community Thresholds.”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1 (1): 25–37.</w:t>
      </w:r>
    </w:p>
    <w:bookmarkEnd w:id="43"/>
    <w:bookmarkStart w:id="44" w:name="ref-baker2013titan"/>
    <w:p>
      <w:pPr>
        <w:pStyle w:val="Bibliography"/>
      </w:pPr>
      <w:r>
        <w:t xml:space="preserve">———. 2013.</w:t>
      </w:r>
      <w:r>
        <w:t xml:space="preserve"> </w:t>
      </w:r>
      <w:r>
        <w:t xml:space="preserve">“Of TITAN and Straw Men: An Appeal for Greater Understanding of Community Data.”</w:t>
      </w:r>
      <w:r>
        <w:t xml:space="preserve"> </w:t>
      </w:r>
      <w:r>
        <w:rPr>
          <w:iCs/>
          <w:i/>
        </w:rPr>
        <w:t xml:space="preserve">Freshwater Science</w:t>
      </w:r>
      <w:r>
        <w:t xml:space="preserve"> </w:t>
      </w:r>
      <w:r>
        <w:t xml:space="preserve">32 (2): 489–506.</w:t>
      </w:r>
    </w:p>
    <w:bookmarkEnd w:id="44"/>
    <w:bookmarkStart w:id="45" w:name="ref-dufrene1997species"/>
    <w:p>
      <w:pPr>
        <w:pStyle w:val="Bibliography"/>
      </w:pPr>
      <w:r>
        <w:t xml:space="preserve">Dufrêne, Marc, and Pierre Legendre. 1997.</w:t>
      </w:r>
      <w:r>
        <w:t xml:space="preserve"> </w:t>
      </w:r>
      <w:r>
        <w:t xml:space="preserve">“Species Assemblages and Indicator Species: The Need for a Flexible Asymmetrical Approach.”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t xml:space="preserve">67 (3): 345–66.</w:t>
      </w:r>
    </w:p>
    <w:bookmarkEnd w:id="45"/>
    <w:bookmarkStart w:id="46" w:name="ref-fetscher2014linking"/>
    <w:p>
      <w:pPr>
        <w:pStyle w:val="Bibliography"/>
      </w:pPr>
      <w:r>
        <w:t xml:space="preserve">Fetscher, A Elizabeth, Martha Sutula, Ashmita Sengupta, and Naomi Detenbeck. 2014.</w:t>
      </w:r>
      <w:r>
        <w:t xml:space="preserve"> </w:t>
      </w:r>
      <w:r>
        <w:rPr>
          <w:iCs/>
          <w:i/>
        </w:rPr>
        <w:t xml:space="preserve">Linking Nutrients to Alterations in Aquatic Life in California Wadeable Streams</w:t>
      </w:r>
      <w:r>
        <w:t xml:space="preserve">. US Environmental Protection Agency, Office of Research; Development ….</w:t>
      </w:r>
    </w:p>
    <w:bookmarkEnd w:id="46"/>
    <w:bookmarkStart w:id="48" w:name="ref-greenland2016statistical"/>
    <w:p>
      <w:pPr>
        <w:pStyle w:val="Bibliography"/>
      </w:pPr>
      <w:r>
        <w:t xml:space="preserve">Greenland, Sander, Stephen J Senn, Kenneth J Rothman, John B Carlin, Charles Poole, Steven N Goodman, and Douglas G Altman. 2016.</w:t>
      </w:r>
      <w:r>
        <w:t xml:space="preserve"> </w:t>
      </w:r>
      <w:r>
        <w:t xml:space="preserve">“Statistical Tests, p Values, Confidence Intervals, and Power: A Guide to Misinterpretations.”</w:t>
      </w:r>
      <w:r>
        <w:t xml:space="preserve"> </w:t>
      </w:r>
      <w:r>
        <w:rPr>
          <w:iCs/>
          <w:i/>
        </w:rPr>
        <w:t xml:space="preserve">European Journal of Epidemiology</w:t>
      </w:r>
      <w:r>
        <w:t xml:space="preserve"> </w:t>
      </w:r>
      <w:r>
        <w:t xml:space="preserve">31 (4): 337–50. https://doi.org/</w:t>
      </w:r>
      <w:hyperlink r:id="rId47">
        <w:r>
          <w:rPr>
            <w:rStyle w:val="Hyperlink"/>
          </w:rPr>
          <w:t xml:space="preserve">https://doi.org/10.1007/s10654-016-0149-3</w:t>
        </w:r>
      </w:hyperlink>
      <w:r>
        <w:t xml:space="preserve">.</w:t>
      </w:r>
    </w:p>
    <w:bookmarkEnd w:id="48"/>
    <w:bookmarkStart w:id="49" w:name="ref-homer2007completion"/>
    <w:p>
      <w:pPr>
        <w:pStyle w:val="Bibliography"/>
      </w:pPr>
      <w:r>
        <w:t xml:space="preserve">Homer, Collin, Jon Dewitz, Joyce Fry, Michael Coan, Nazmul Hossain, Charles Larson, Nate Herold, et al. 2007.</w:t>
      </w:r>
      <w:r>
        <w:t xml:space="preserve"> </w:t>
      </w:r>
      <w:r>
        <w:t xml:space="preserve">“Completion of the 2001 National Land Cover Database for the Counterminous United States.”</w:t>
      </w:r>
      <w:r>
        <w:t xml:space="preserve"> </w:t>
      </w:r>
      <w:r>
        <w:rPr>
          <w:iCs/>
          <w:i/>
        </w:rPr>
        <w:t xml:space="preserve">Photogrammetric Engineering and Remote Sensing</w:t>
      </w:r>
      <w:r>
        <w:t xml:space="preserve"> </w:t>
      </w:r>
      <w:r>
        <w:t xml:space="preserve">73 (4): 337.</w:t>
      </w:r>
    </w:p>
    <w:bookmarkEnd w:id="49"/>
    <w:bookmarkStart w:id="50" w:name="ref-king2011novel"/>
    <w:p>
      <w:pPr>
        <w:pStyle w:val="Bibliography"/>
      </w:pPr>
      <w:r>
        <w:t xml:space="preserve">King, Ryan S, Matthew E Baker, Paul F Kazyak, and Donald E Weller. 2011.</w:t>
      </w:r>
      <w:r>
        <w:t xml:space="preserve"> </w:t>
      </w:r>
      <w:r>
        <w:t xml:space="preserve">“How Novel Is Too Novel? Stream Community Thresholds at Exceptionally Low Levels of Catchment Urbanization.”</w:t>
      </w:r>
      <w:r>
        <w:t xml:space="preserve"> </w:t>
      </w:r>
      <w:r>
        <w:rPr>
          <w:iCs/>
          <w:i/>
        </w:rPr>
        <w:t xml:space="preserve">Ecological Applications</w:t>
      </w:r>
      <w:r>
        <w:t xml:space="preserve"> </w:t>
      </w:r>
      <w:r>
        <w:t xml:space="preserve">21 (5): 1659–78.</w:t>
      </w:r>
    </w:p>
    <w:bookmarkEnd w:id="50"/>
    <w:bookmarkStart w:id="51" w:name="ref-king2003integrating"/>
    <w:p>
      <w:pPr>
        <w:pStyle w:val="Bibliography"/>
      </w:pPr>
      <w:r>
        <w:t xml:space="preserve">King, Ryan S, and Curtis J Richardson. 2003.</w:t>
      </w:r>
      <w:r>
        <w:t xml:space="preserve"> </w:t>
      </w:r>
      <w:r>
        <w:t xml:space="preserve">“Integrating Bioassessment and Ecological Risk Assessment: An Approach to Developing Numerical Water-Quality Criteria.”</w:t>
      </w:r>
      <w:r>
        <w:t xml:space="preserve"> </w:t>
      </w:r>
      <w:r>
        <w:rPr>
          <w:iCs/>
          <w:i/>
        </w:rPr>
        <w:t xml:space="preserve">Environmental Management</w:t>
      </w:r>
      <w:r>
        <w:t xml:space="preserve"> </w:t>
      </w:r>
      <w:r>
        <w:t xml:space="preserve">31 (6): 795–809.</w:t>
      </w:r>
    </w:p>
    <w:bookmarkEnd w:id="51"/>
    <w:bookmarkStart w:id="52" w:name="ref-ode2011ecological"/>
    <w:p>
      <w:pPr>
        <w:pStyle w:val="Bibliography"/>
      </w:pPr>
      <w:r>
        <w:t xml:space="preserve">Ode, PR, TM Kincaid, T Fleming, and AC Rehn. 2011.</w:t>
      </w:r>
      <w:r>
        <w:t xml:space="preserve"> </w:t>
      </w:r>
      <w:r>
        <w:t xml:space="preserve">“Ecological Condition Assessments of California’s Perennial Wadeable Streams, Highlights from the Surface Water Ambient Monitoring Program’s Perennial Streams Assessment (PSA)(2000–2007).”</w:t>
      </w:r>
      <w:r>
        <w:t xml:space="preserve"> </w:t>
      </w:r>
      <w:r>
        <w:rPr>
          <w:iCs/>
          <w:i/>
        </w:rPr>
        <w:t xml:space="preserve">A Collaboration Between the State Water Resources Control Board’s Non-Point Source Pollution Control Program (NPS Program), Surface Water Ambient Monitoring Program (SWAMP), California Department of Fish and Game Aquatic Bioassessment Laboratory, and the US Environmental Protection Agency</w:t>
      </w:r>
      <w:r>
        <w:t xml:space="preserve">.</w:t>
      </w:r>
    </w:p>
    <w:bookmarkEnd w:id="52"/>
    <w:bookmarkStart w:id="53" w:name="ref-qian2003two"/>
    <w:p>
      <w:pPr>
        <w:pStyle w:val="Bibliography"/>
      </w:pPr>
      <w:r>
        <w:t xml:space="preserve">Qian, Song S, Ryan S King, and Curtis J Richardson. 2003.</w:t>
      </w:r>
      <w:r>
        <w:t xml:space="preserve"> </w:t>
      </w:r>
      <w:r>
        <w:t xml:space="preserve">“Two Statistical Methods for the Detection of Environmental Thresholds.”</w:t>
      </w:r>
      <w:r>
        <w:t xml:space="preserve"> </w:t>
      </w:r>
      <w:r>
        <w:rPr>
          <w:iCs/>
          <w:i/>
        </w:rPr>
        <w:t xml:space="preserve">Ecological Modelling</w:t>
      </w:r>
      <w:r>
        <w:t xml:space="preserve"> </w:t>
      </w:r>
      <w:r>
        <w:t xml:space="preserve">166 (1-2): 87–97.</w:t>
      </w:r>
    </w:p>
    <w:bookmarkEnd w:id="53"/>
    <w:bookmarkStart w:id="55" w:name="ref-R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5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55"/>
    <w:bookmarkStart w:id="56" w:name="ref-schenker2001judging"/>
    <w:p>
      <w:pPr>
        <w:pStyle w:val="Bibliography"/>
      </w:pPr>
      <w:r>
        <w:t xml:space="preserve">Schenker, Nathaniel, and Jane F Gentleman. 2001.</w:t>
      </w:r>
      <w:r>
        <w:t xml:space="preserve"> </w:t>
      </w:r>
      <w:r>
        <w:t xml:space="preserve">“On Judging the Significance of Differences by Examining the Overlap Between Confidence Intervals.”</w:t>
      </w:r>
      <w:r>
        <w:t xml:space="preserve"> </w:t>
      </w:r>
      <w:r>
        <w:rPr>
          <w:iCs/>
          <w:i/>
        </w:rPr>
        <w:t xml:space="preserve">The American Statistician</w:t>
      </w:r>
      <w:r>
        <w:t xml:space="preserve"> </w:t>
      </w:r>
      <w:r>
        <w:t xml:space="preserve">55 (3): 182–86.</w:t>
      </w:r>
    </w:p>
    <w:bookmarkEnd w:id="56"/>
    <w:bookmarkEnd w:id="57"/>
    <w:bookmarkEnd w:id="58"/>
    <w:sectPr w:rsidR="00A77D2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F80463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D346FC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B1EE75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CA2E7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386E13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72072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106FD1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5CA58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00AA60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D4A8F7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D40E2A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5F56E45E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713A217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D60BCD"/>
    <w:rPr>
      <w:rFonts w:ascii="Courier New" w:hAnsi="Courier New"/>
      <w:sz w:val="16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D60BCD"/>
    <w:pPr>
      <w:shd w:color="auto" w:fill="F8F8F8" w:val="clear"/>
      <w:wordWrap w:val="0"/>
    </w:pPr>
    <w:rPr>
      <w:rFonts w:ascii="Courier New" w:hAnsi="Courier New"/>
      <w:sz w:val="16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204A87"/>
      <w:sz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urier New" w:hAnsi="Courier New"/>
      <w:color w:val="204A87"/>
      <w:sz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urier New" w:hAnsi="Courier New"/>
      <w:color w:val="0000CF"/>
      <w:sz w:val="16"/>
      <w:shd w:color="auto" w:fill="F8F8F8" w:val="clear"/>
    </w:rPr>
  </w:style>
  <w:style w:customStyle="1" w:styleId="BaseNTok" w:type="character">
    <w:name w:val="BaseNTok"/>
    <w:basedOn w:val="VerbatimChar"/>
    <w:rPr>
      <w:rFonts w:ascii="Courier New" w:hAnsi="Courier New"/>
      <w:color w:val="0000CF"/>
      <w:sz w:val="16"/>
      <w:shd w:color="auto" w:fill="F8F8F8" w:val="clear"/>
    </w:rPr>
  </w:style>
  <w:style w:customStyle="1" w:styleId="FloatTok" w:type="character">
    <w:name w:val="FloatTok"/>
    <w:basedOn w:val="VerbatimChar"/>
    <w:rPr>
      <w:rFonts w:ascii="Courier New" w:hAnsi="Courier New"/>
      <w:color w:val="0000CF"/>
      <w:sz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urier New" w:hAnsi="Courier New"/>
      <w:color w:val="000000"/>
      <w:sz w:val="16"/>
      <w:shd w:color="auto" w:fill="F8F8F8" w:val="clear"/>
    </w:rPr>
  </w:style>
  <w:style w:customStyle="1" w:styleId="CharTok" w:type="character">
    <w:name w:val="CharTok"/>
    <w:basedOn w:val="VerbatimChar"/>
    <w:rPr>
      <w:rFonts w:ascii="Courier New" w:hAnsi="Courier New"/>
      <w:color w:val="4E9A06"/>
      <w:sz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urier New" w:hAnsi="Courier New"/>
      <w:color w:val="000000"/>
      <w:sz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urier New" w:hAnsi="Courier New"/>
      <w:color w:val="4E9A06"/>
      <w:sz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E9A06"/>
      <w:sz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4E9A06"/>
      <w:sz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urier New" w:hAnsi="Courier New"/>
      <w:sz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8F5902"/>
      <w:sz w:val="16"/>
      <w:shd w:color="auto" w:fill="F8F8F8" w:val="clear"/>
    </w:rPr>
  </w:style>
  <w:style w:customStyle="1" w:styleId="DocumentationTok" w:type="character">
    <w:name w:val="DocumentationTok"/>
    <w:basedOn w:val="VerbatimChar"/>
    <w:rsid w:val="00D60BCD"/>
    <w:rPr>
      <w:rFonts w:ascii="Courier New" w:hAnsi="Courier New"/>
      <w:b w:val="0"/>
      <w:i/>
      <w:color w:val="8F5902"/>
      <w:sz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8F5902"/>
      <w:sz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8F5902"/>
      <w:sz w:val="16"/>
      <w:shd w:color="auto" w:fill="F8F8F8" w:val="clear"/>
    </w:rPr>
  </w:style>
  <w:style w:customStyle="1" w:styleId="OtherTok" w:type="character">
    <w:name w:val="OtherTok"/>
    <w:basedOn w:val="VerbatimChar"/>
    <w:rPr>
      <w:rFonts w:ascii="Courier New" w:hAnsi="Courier New"/>
      <w:color w:val="8F5902"/>
      <w:sz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urier New" w:hAnsi="Courier New"/>
      <w:color w:val="000000"/>
      <w:sz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urier New" w:hAnsi="Courier New"/>
      <w:color w:val="000000"/>
      <w:sz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204A87"/>
      <w:sz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urier New" w:hAnsi="Courier New"/>
      <w:b/>
      <w:color w:val="CE5C00"/>
      <w:sz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urier New" w:hAnsi="Courier New"/>
      <w:sz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urier New" w:hAnsi="Courier New"/>
      <w:sz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urier New" w:hAnsi="Courier New"/>
      <w:i/>
      <w:color w:val="8F5902"/>
      <w:sz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urier New" w:hAnsi="Courier New"/>
      <w:color w:val="C4A000"/>
      <w:sz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urier New" w:hAnsi="Courier New"/>
      <w:sz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8F5902"/>
      <w:sz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8F5902"/>
      <w:sz w:val="16"/>
      <w:shd w:color="auto" w:fill="F8F8F8" w:val="clear"/>
    </w:rPr>
  </w:style>
  <w:style w:customStyle="1" w:styleId="AlertTok" w:type="character">
    <w:name w:val="AlertTok"/>
    <w:basedOn w:val="VerbatimChar"/>
    <w:rPr>
      <w:rFonts w:ascii="Courier New" w:hAnsi="Courier New"/>
      <w:color w:val="EF2929"/>
      <w:sz w:val="16"/>
      <w:shd w:color="auto" w:fill="F8F8F8" w:val="clear"/>
    </w:rPr>
  </w:style>
  <w:style w:customStyle="1" w:styleId="ErrorTok" w:type="character">
    <w:name w:val="ErrorTok"/>
    <w:basedOn w:val="VerbatimChar"/>
    <w:rPr>
      <w:rFonts w:ascii="Courier New" w:hAnsi="Courier New"/>
      <w:b/>
      <w:color w:val="A40000"/>
      <w:sz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urier New" w:hAnsi="Courier New"/>
      <w:sz w:val="16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6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RAN.R-project.org/package=TITAN2" TargetMode="External" /><Relationship Type="http://schemas.openxmlformats.org/officeDocument/2006/relationships/hyperlink" Id="rId34" Target="https://cran.r-project.org/package=pTITAN2" TargetMode="External" /><Relationship Type="http://schemas.openxmlformats.org/officeDocument/2006/relationships/hyperlink" Id="rId47" Target="https://doi.org/10.1007/s10654-016-0149-3" TargetMode="External" /><Relationship Type="http://schemas.openxmlformats.org/officeDocument/2006/relationships/hyperlink" Id="rId32" Target="https://edg.epa.gov/metadata/catalog/main/home.page" TargetMode="External" /><Relationship Type="http://schemas.openxmlformats.org/officeDocument/2006/relationships/hyperlink" Id="rId35" Target="https://github.com/sfigary/pTITAN2" TargetMode="External" /><Relationship Type="http://schemas.openxmlformats.org/officeDocument/2006/relationships/hyperlink" Id="rId54" Target="https://www.R-project.org/" TargetMode="External" /><Relationship Type="http://schemas.openxmlformats.org/officeDocument/2006/relationships/hyperlink" Id="rId24" Target="https://www7.ncdc.noaa.gov/CDO/CDODivisionalSelect.j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CRAN.R-project.org/package=TITAN2" TargetMode="External" /><Relationship Type="http://schemas.openxmlformats.org/officeDocument/2006/relationships/hyperlink" Id="rId34" Target="https://cran.r-project.org/package=pTITAN2" TargetMode="External" /><Relationship Type="http://schemas.openxmlformats.org/officeDocument/2006/relationships/hyperlink" Id="rId47" Target="https://doi.org/10.1007/s10654-016-0149-3" TargetMode="External" /><Relationship Type="http://schemas.openxmlformats.org/officeDocument/2006/relationships/hyperlink" Id="rId32" Target="https://edg.epa.gov/metadata/catalog/main/home.page" TargetMode="External" /><Relationship Type="http://schemas.openxmlformats.org/officeDocument/2006/relationships/hyperlink" Id="rId35" Target="https://github.com/sfigary/pTITAN2" TargetMode="External" /><Relationship Type="http://schemas.openxmlformats.org/officeDocument/2006/relationships/hyperlink" Id="rId54" Target="https://www.R-project.org/" TargetMode="External" /><Relationship Type="http://schemas.openxmlformats.org/officeDocument/2006/relationships/hyperlink" Id="rId24" Target="https://www7.ncdc.noaa.gov/CDO/CDODivisionalSelect.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2091</Words>
  <Characters>11925</Characters>
  <Application>Microsoft Office Word</Application>
  <DocSecurity>0</DocSecurity>
  <Lines>99</Lines>
  <Paragraphs>27</Paragraphs>
  <ScaleCrop>false</ScaleCrop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pTITAN2</dc:title>
  <dc:creator>Stephanie Figary1, Peter E. DeWitt2,3,4, and Naomi Detenbeck5</dc:creator>
  <cp:keywords/>
  <dcterms:created xsi:type="dcterms:W3CDTF">2021-11-12T16:45:24Z</dcterms:created>
  <dcterms:modified xsi:type="dcterms:W3CDTF">2021-11-12T16:45:24Z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  <property fmtid="{D5CDD505-2E9C-101B-9397-08002B2CF9AE}" pid="4" name="subtitle">
    <vt:lpwstr>Permutation of Treatment Labels and Threshold Indicator Taxa ANalysis</vt:lpwstr>
  </property>
  <property fmtid="{D5CDD505-2E9C-101B-9397-08002B2CF9AE}" pid="5" name="vignette">
    <vt:lpwstr>% % %</vt:lpwstr>
  </property>
</Properties>
</file>