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F46" w:rsidRDefault="005D4DD6" w:rsidP="005D4DD6">
      <w:pPr>
        <w:jc w:val="center"/>
      </w:pPr>
      <w:r>
        <w:rPr>
          <w:b/>
        </w:rPr>
        <w:t>Little Miami River N – IWI Comparisons</w:t>
      </w:r>
    </w:p>
    <w:p w:rsidR="005D4DD6" w:rsidRDefault="005D4DD6" w:rsidP="005D4DD6">
      <w:pPr>
        <w:spacing w:after="0"/>
        <w:jc w:val="right"/>
      </w:pPr>
      <w:r>
        <w:t>Zachary C. Johnson</w:t>
      </w:r>
    </w:p>
    <w:p w:rsidR="005D4DD6" w:rsidRDefault="00B1508B" w:rsidP="005D4DD6">
      <w:pPr>
        <w:jc w:val="right"/>
      </w:pPr>
      <w:r>
        <w:t>May 2</w:t>
      </w:r>
      <w:r w:rsidR="005D4DD6">
        <w:t>, 2017</w:t>
      </w:r>
    </w:p>
    <w:p w:rsidR="005D4DD6" w:rsidRDefault="005D4DD6" w:rsidP="005D4DD6">
      <w:r>
        <w:t>There are 5 types of N metrics (</w:t>
      </w:r>
      <w:proofErr w:type="gramStart"/>
      <w:r>
        <w:t>total</w:t>
      </w:r>
      <w:proofErr w:type="gramEnd"/>
      <w:r>
        <w:t xml:space="preserve">-N, total ammonium, total nitrate/nitrite, dissolved inorganic-N, and fraction of </w:t>
      </w:r>
      <w:r w:rsidR="00491796">
        <w:t xml:space="preserve">total-N as </w:t>
      </w:r>
      <w:r>
        <w:t>dissolved inorganic-N) and 2 types of summary (annual mean and annual range)</w:t>
      </w:r>
    </w:p>
    <w:p w:rsidR="005D4DD6" w:rsidRDefault="005D4DD6" w:rsidP="005D4DD6">
      <w:pPr>
        <w:pStyle w:val="Heading1"/>
        <w:numPr>
          <w:ilvl w:val="0"/>
          <w:numId w:val="1"/>
        </w:numPr>
      </w:pPr>
      <w:r>
        <w:t>Method</w:t>
      </w:r>
    </w:p>
    <w:p w:rsidR="005D4DD6" w:rsidRDefault="005D4DD6" w:rsidP="005D4DD6">
      <w:r>
        <w:t>Raw data comes from the file ‘USEPA-OhEPA_EFWSChemistryData_ForZacharyJohnson</w:t>
      </w:r>
      <w:r w:rsidR="00B1508B">
        <w:t>_12082016.xlsx’ sent from Chris</w:t>
      </w:r>
      <w:r>
        <w:t xml:space="preserve"> Nietch to Zach Johnson.</w:t>
      </w:r>
      <w:r w:rsidR="00F53991">
        <w:t xml:space="preserve"> </w:t>
      </w:r>
      <w:r>
        <w:t xml:space="preserve">Data begins on March 14, 2005 and ends on December 29, 2015 and was collected by the US EPA </w:t>
      </w:r>
      <w:r w:rsidRPr="00491796">
        <w:rPr>
          <w:highlight w:val="cyan"/>
        </w:rPr>
        <w:t>(**NEEDS CHRIS’ INPUT REGARDING COLLECTION AND ANALYSIS METHODS**</w:t>
      </w:r>
      <w:r>
        <w:t>).</w:t>
      </w:r>
    </w:p>
    <w:p w:rsidR="005D4DD6" w:rsidRDefault="00F53991" w:rsidP="005D4DD6">
      <w:r>
        <w:t xml:space="preserve">Data were organized by site (‘id’ attribute) and analysis type (i.e., </w:t>
      </w:r>
      <w:proofErr w:type="gramStart"/>
      <w:r>
        <w:t>total</w:t>
      </w:r>
      <w:proofErr w:type="gramEnd"/>
      <w:r>
        <w:t>-N, total ammonium, etc.) and multiple site-analysi</w:t>
      </w:r>
      <w:bookmarkStart w:id="0" w:name="_GoBack"/>
      <w:bookmarkEnd w:id="0"/>
      <w:r>
        <w:t xml:space="preserve">s measurements within a day were averaged. </w:t>
      </w:r>
      <w:r w:rsidR="00491796">
        <w:t xml:space="preserve">Total-N values greater than dissolved </w:t>
      </w:r>
      <w:proofErr w:type="gramStart"/>
      <w:r w:rsidR="00491796">
        <w:t>inorganic</w:t>
      </w:r>
      <w:proofErr w:type="gramEnd"/>
      <w:r w:rsidR="00491796">
        <w:t xml:space="preserve">-N values were removed from the analysis. </w:t>
      </w:r>
      <w:r>
        <w:t xml:space="preserve">Data were then organized by month between 2005-2015 and monthly average values were calculated for each site-analysis pairing, following </w:t>
      </w:r>
      <w:proofErr w:type="spellStart"/>
      <w:r>
        <w:t>Jiajia’s</w:t>
      </w:r>
      <w:proofErr w:type="spellEnd"/>
      <w:r>
        <w:t xml:space="preserve"> example for the </w:t>
      </w:r>
      <w:proofErr w:type="spellStart"/>
      <w:r>
        <w:t>Calapooia</w:t>
      </w:r>
      <w:proofErr w:type="spellEnd"/>
      <w:r>
        <w:t xml:space="preserve"> (</w:t>
      </w:r>
      <w:r w:rsidR="00491796">
        <w:t xml:space="preserve">See her </w:t>
      </w:r>
      <w:r>
        <w:t xml:space="preserve">Eq. 1). However, the number of years of data varied for each Little Miami site. Monthly averages for site-analysis pairings with less than 3 observations for a given month were left blank. Annual averages were calculated by averaging the 12 monthly average values for each site-analysis pairing. Annual averages for site-analysis pairings with less than 10 monthly average values were left blank. Sites with data for less than 10 separate months were removed from further analysis.  This left </w:t>
      </w:r>
      <w:r w:rsidR="00491796">
        <w:t>44</w:t>
      </w:r>
      <w:r>
        <w:t xml:space="preserve"> sites</w:t>
      </w:r>
      <w:r w:rsidR="00491796">
        <w:t xml:space="preserve"> with IWI/ICI values</w:t>
      </w:r>
      <w:r>
        <w:t xml:space="preserve"> for further analysis.</w:t>
      </w:r>
    </w:p>
    <w:p w:rsidR="00F53991" w:rsidRDefault="00F53991" w:rsidP="005D4DD6">
      <w:r>
        <w:t xml:space="preserve">Annual range values were calculated using the monthly summaries, following </w:t>
      </w:r>
      <w:proofErr w:type="spellStart"/>
      <w:r>
        <w:t>Jiajia’s</w:t>
      </w:r>
      <w:proofErr w:type="spellEnd"/>
      <w:r>
        <w:t xml:space="preserve"> example for the </w:t>
      </w:r>
      <w:proofErr w:type="spellStart"/>
      <w:r>
        <w:t>Calapooia</w:t>
      </w:r>
      <w:proofErr w:type="spellEnd"/>
      <w:r>
        <w:t xml:space="preserve"> (</w:t>
      </w:r>
      <w:r w:rsidR="00491796">
        <w:t xml:space="preserve">See her </w:t>
      </w:r>
      <w:r>
        <w:t>Eq. 2).  Annual mean values were also calculated in a similar fashion:</w:t>
      </w:r>
    </w:p>
    <w:p w:rsidR="00F53991" w:rsidRPr="00F53991" w:rsidRDefault="004947A0" w:rsidP="005D4DD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mean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 xml:space="preserve">, where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 xml:space="preserve"> is the monthly average</m:t>
          </m:r>
        </m:oMath>
      </m:oMathPara>
    </w:p>
    <w:p w:rsidR="00F53991" w:rsidRDefault="00F53991" w:rsidP="005D4DD6">
      <w:pPr>
        <w:rPr>
          <w:rFonts w:eastAsiaTheme="minorEastAsia"/>
        </w:rPr>
      </w:pPr>
      <w:r>
        <w:rPr>
          <w:rFonts w:eastAsiaTheme="minorEastAsia"/>
        </w:rPr>
        <w:t xml:space="preserve">Annual range and mean values were then log10 transformed, following </w:t>
      </w:r>
      <w:proofErr w:type="spellStart"/>
      <w:r>
        <w:rPr>
          <w:rFonts w:eastAsiaTheme="minorEastAsia"/>
        </w:rPr>
        <w:t>Jiajia’s</w:t>
      </w:r>
      <w:proofErr w:type="spellEnd"/>
      <w:r>
        <w:rPr>
          <w:rFonts w:eastAsiaTheme="minorEastAsia"/>
        </w:rPr>
        <w:t xml:space="preserve"> example for the </w:t>
      </w:r>
      <w:proofErr w:type="spellStart"/>
      <w:r>
        <w:rPr>
          <w:rFonts w:eastAsiaTheme="minorEastAsia"/>
        </w:rPr>
        <w:t>Calapooia</w:t>
      </w:r>
      <w:proofErr w:type="spellEnd"/>
      <w:r>
        <w:rPr>
          <w:rFonts w:eastAsiaTheme="minorEastAsia"/>
        </w:rPr>
        <w:t>.</w:t>
      </w:r>
      <w:r w:rsidR="00491796">
        <w:rPr>
          <w:rFonts w:eastAsiaTheme="minorEastAsia"/>
        </w:rPr>
        <w:t xml:space="preserve">  The annual range and mean values were then plotted against IWI/ICI values and their 6 components. </w:t>
      </w:r>
      <w:r w:rsidR="00B1508B">
        <w:rPr>
          <w:rFonts w:eastAsiaTheme="minorEastAsia"/>
        </w:rPr>
        <w:t>Pearson correlation coefficient (r) and l</w:t>
      </w:r>
      <w:r w:rsidR="00491796">
        <w:rPr>
          <w:rFonts w:eastAsiaTheme="minorEastAsia"/>
        </w:rPr>
        <w:t xml:space="preserve">inear regression </w:t>
      </w:r>
      <w:r w:rsidR="004947A0">
        <w:rPr>
          <w:rFonts w:eastAsiaTheme="minorEastAsia"/>
        </w:rPr>
        <w:t>R</w:t>
      </w:r>
      <w:r w:rsidR="00491796" w:rsidRPr="00491796">
        <w:rPr>
          <w:rFonts w:eastAsiaTheme="minorEastAsia"/>
          <w:vertAlign w:val="superscript"/>
        </w:rPr>
        <w:t>2</w:t>
      </w:r>
      <w:r w:rsidR="00491796">
        <w:rPr>
          <w:rFonts w:eastAsiaTheme="minorEastAsia"/>
        </w:rPr>
        <w:t xml:space="preserve"> </w:t>
      </w:r>
      <w:r w:rsidR="00B1508B">
        <w:rPr>
          <w:rFonts w:eastAsiaTheme="minorEastAsia"/>
        </w:rPr>
        <w:t>and p values</w:t>
      </w:r>
      <w:r w:rsidR="00491796">
        <w:rPr>
          <w:rFonts w:eastAsiaTheme="minorEastAsia"/>
        </w:rPr>
        <w:t xml:space="preserve"> were calculated for each site-IWI/ICI metric pairing.</w:t>
      </w:r>
    </w:p>
    <w:p w:rsidR="00491796" w:rsidRDefault="00491796" w:rsidP="00491796">
      <w:pPr>
        <w:pStyle w:val="Heading1"/>
        <w:numPr>
          <w:ilvl w:val="0"/>
          <w:numId w:val="1"/>
        </w:numPr>
      </w:pPr>
      <w:r>
        <w:t>Results</w:t>
      </w:r>
    </w:p>
    <w:p w:rsidR="00B1508B" w:rsidRDefault="000E7CE9" w:rsidP="00491796">
      <w:pPr>
        <w:sectPr w:rsidR="00B1508B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t xml:space="preserve">All significant correlations between the annual summaries and IWI/ICI metrics were negative. </w:t>
      </w:r>
      <w:r w:rsidR="00491796">
        <w:t>Overall, the annual mean values correlated slightly stronger with the IWI/ICI metrics than the annual range values</w:t>
      </w:r>
      <w:r>
        <w:t xml:space="preserve"> (see ‘USEPA_LtlMiamiN_IWI_ICI.pdf’)</w:t>
      </w:r>
      <w:r w:rsidR="00491796">
        <w:t xml:space="preserve">. The annual mean values were also more strongly correlated with </w:t>
      </w:r>
      <w:proofErr w:type="gramStart"/>
      <w:r w:rsidR="00491796">
        <w:t>total</w:t>
      </w:r>
      <w:proofErr w:type="gramEnd"/>
      <w:r w:rsidR="00491796">
        <w:t xml:space="preserve">-N and total ammonium than the annual range values.  However, the annual range values were more strongly correlated with total nitrate/nitrite and dissolved </w:t>
      </w:r>
      <w:proofErr w:type="gramStart"/>
      <w:r w:rsidR="00491796">
        <w:t>inorganic</w:t>
      </w:r>
      <w:proofErr w:type="gramEnd"/>
      <w:r w:rsidR="00491796">
        <w:t xml:space="preserve">-N than the annual mean values. Interestingly, watershed metrics (i.e., IWI+6 components) correlated more strongly with </w:t>
      </w:r>
      <w:proofErr w:type="gramStart"/>
      <w:r w:rsidR="00491796">
        <w:t>total</w:t>
      </w:r>
      <w:proofErr w:type="gramEnd"/>
      <w:r w:rsidR="00491796">
        <w:t xml:space="preserve">-N, nitrate/nitrite, and dissolved inorganic-N, whereas catchment metrics (i.e., ICI+6 components) correlated more strongly with ammonium. This may reflect local </w:t>
      </w:r>
      <w:r w:rsidR="00BA340A">
        <w:t>sources of ammonium and ammonium cycling</w:t>
      </w:r>
      <w:r w:rsidR="00491796">
        <w:t xml:space="preserve"> (</w:t>
      </w:r>
      <w:r w:rsidR="00491796" w:rsidRPr="00491796">
        <w:rPr>
          <w:highlight w:val="cyan"/>
        </w:rPr>
        <w:t>**CHRIS</w:t>
      </w:r>
      <w:r w:rsidR="00BA340A">
        <w:rPr>
          <w:highlight w:val="cyan"/>
        </w:rPr>
        <w:t xml:space="preserve"> AND JANA’S</w:t>
      </w:r>
      <w:r w:rsidR="00491796" w:rsidRPr="00491796">
        <w:rPr>
          <w:highlight w:val="cyan"/>
        </w:rPr>
        <w:t xml:space="preserve"> </w:t>
      </w:r>
      <w:proofErr w:type="gramStart"/>
      <w:r w:rsidR="00BA340A">
        <w:rPr>
          <w:highlight w:val="cyan"/>
        </w:rPr>
        <w:t>INPUT?</w:t>
      </w:r>
      <w:r w:rsidR="00491796" w:rsidRPr="00491796">
        <w:rPr>
          <w:highlight w:val="cyan"/>
        </w:rPr>
        <w:t>*</w:t>
      </w:r>
      <w:proofErr w:type="gramEnd"/>
      <w:r w:rsidR="00491796" w:rsidRPr="00491796">
        <w:rPr>
          <w:highlight w:val="cyan"/>
        </w:rPr>
        <w:t>*</w:t>
      </w:r>
      <w:r w:rsidR="00491796">
        <w:t>).</w:t>
      </w:r>
    </w:p>
    <w:p w:rsidR="00B1508B" w:rsidRDefault="00B1508B" w:rsidP="00B1508B">
      <w:pPr>
        <w:pStyle w:val="Heading1"/>
        <w:numPr>
          <w:ilvl w:val="0"/>
          <w:numId w:val="1"/>
        </w:numPr>
      </w:pPr>
      <w:r>
        <w:lastRenderedPageBreak/>
        <w:t>Example graphs</w:t>
      </w:r>
    </w:p>
    <w:p w:rsidR="00B1508B" w:rsidRPr="00B1508B" w:rsidRDefault="00B1508B" w:rsidP="00B1508B">
      <w:r>
        <w:t>See</w:t>
      </w:r>
      <w:r>
        <w:t xml:space="preserve"> ‘USEPA_LtlMiamiN_IWI_ICI.pdf’</w:t>
      </w:r>
      <w:r>
        <w:t xml:space="preserve"> for more.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81"/>
        <w:gridCol w:w="6479"/>
      </w:tblGrid>
      <w:tr w:rsidR="00B1508B" w:rsidTr="00B1508B">
        <w:tc>
          <w:tcPr>
            <w:tcW w:w="4675" w:type="dxa"/>
          </w:tcPr>
          <w:p w:rsidR="00B1508B" w:rsidRDefault="00B1508B" w:rsidP="00B1508B">
            <w:r>
              <w:rPr>
                <w:noProof/>
              </w:rPr>
              <w:drawing>
                <wp:inline distT="0" distB="0" distL="0" distR="0" wp14:anchorId="3C1BB8C6" wp14:editId="0E8C5A66">
                  <wp:extent cx="4058966" cy="3994785"/>
                  <wp:effectExtent l="0" t="0" r="0" b="571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WI_ex.PNG"/>
                          <pic:cNvPicPr/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4062"/>
                          <a:stretch/>
                        </pic:blipFill>
                        <pic:spPr bwMode="auto">
                          <a:xfrm>
                            <a:off x="0" y="0"/>
                            <a:ext cx="4170075" cy="41041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:rsidR="00B1508B" w:rsidRDefault="00B1508B" w:rsidP="00B1508B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3921DF53" wp14:editId="638143EC">
                  <wp:extent cx="4057650" cy="3995227"/>
                  <wp:effectExtent l="0" t="0" r="0" b="571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CI_ex.PNG"/>
                          <pic:cNvPicPr/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910"/>
                          <a:stretch/>
                        </pic:blipFill>
                        <pic:spPr bwMode="auto">
                          <a:xfrm>
                            <a:off x="0" y="0"/>
                            <a:ext cx="4191804" cy="41273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1508B" w:rsidRDefault="00B1508B" w:rsidP="00B1508B"/>
    <w:p w:rsidR="00B1508B" w:rsidRPr="005D4DD6" w:rsidRDefault="00B1508B" w:rsidP="00B1508B"/>
    <w:sectPr w:rsidR="00B1508B" w:rsidRPr="005D4DD6" w:rsidSect="00B1508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9D743B"/>
    <w:multiLevelType w:val="hybridMultilevel"/>
    <w:tmpl w:val="D37A98C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210A80"/>
    <w:multiLevelType w:val="hybridMultilevel"/>
    <w:tmpl w:val="BBBE140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281777"/>
    <w:multiLevelType w:val="hybridMultilevel"/>
    <w:tmpl w:val="F116969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DD6"/>
    <w:rsid w:val="000E7CE9"/>
    <w:rsid w:val="00131487"/>
    <w:rsid w:val="00364926"/>
    <w:rsid w:val="00491796"/>
    <w:rsid w:val="004947A0"/>
    <w:rsid w:val="005D4DD6"/>
    <w:rsid w:val="00B1508B"/>
    <w:rsid w:val="00BA340A"/>
    <w:rsid w:val="00E55F46"/>
    <w:rsid w:val="00F53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F2A3F"/>
  <w15:chartTrackingRefBased/>
  <w15:docId w15:val="{44E6434C-BF7C-4DD3-BE21-072ACBC8C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4D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4DD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F5399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179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1796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B150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2</Pages>
  <Words>461</Words>
  <Characters>2629</Characters>
  <Application>Microsoft Office Word</Application>
  <DocSecurity>0</DocSecurity>
  <Lines>21</Lines>
  <Paragraphs>6</Paragraphs>
  <ScaleCrop>false</ScaleCrop>
  <Company/>
  <LinksUpToDate>false</LinksUpToDate>
  <CharactersWithSpaces>3084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Johnson, Zachary</dc:creator>
  <cp:keywords/>
  <dc:description/>
  <cp:lastModifiedBy>Johnson, Zachary</cp:lastModifiedBy>
  <cp:revision>9</cp:revision>
  <dcterms:created xsi:type="dcterms:W3CDTF">2017-04-27T21:59:00Z</dcterms:created>
  <dcterms:modified xsi:type="dcterms:W3CDTF">2017-05-02T22:19:00Z</dcterms:modified>
</cp:coreProperties>
</file>