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27A28">
      <w:pPr>
        <w:pStyle w:val="31"/>
      </w:pPr>
      <w:r>
        <w:t>正常参考匹配如何影响新增视觉表征的收益</w:t>
      </w:r>
    </w:p>
    <w:p w14:paraId="340684A4">
      <w:r>
        <w:t>少样本工业异常定位论文详细提纲　导师审阅版　2026 年 9 月 14 日</w:t>
      </w:r>
    </w:p>
    <w:p w14:paraId="6DB6BECB">
      <w:r>
        <w:t>本稿沿用已完成英文初稿的“摘要—引言—相关工作—方法—实验设计与结果分析—结论—数据与代码—参考文献—补充材料”结构。研究内容更新为冻结多视觉编码器的固定融合，重点考察新增表征与正常参考匹配方式的关系。DCFnet 保留为既有双分支锚点方法的名称，不将全部研究变体重新命名为一个已经验证的新网络。</w:t>
      </w:r>
    </w:p>
    <w:p w14:paraId="7C1B1D2F">
      <w:r>
        <w:rPr>
          <w:b/>
        </w:rPr>
        <w:t>拟请老师重点审阅：</w:t>
      </w:r>
      <w:r>
        <w:t>这一具体研究问题及下面三项研究贡献能否形成论文主线；其中，参考匹配的平均效应已有结果支持，新增表征与匹配方式的直接交互仍待统计验证。提纲将两者分开，不以预期结果代替已完成发现。</w:t>
      </w:r>
    </w:p>
    <w:p w14:paraId="7B0819CC">
      <w:pPr>
        <w:pStyle w:val="3"/>
        <w:rPr>
          <w:vertAlign w:val="baseline"/>
        </w:rPr>
      </w:pPr>
      <w:r>
        <w:t>题目与论文主张</w:t>
      </w:r>
    </w:p>
    <w:p w14:paraId="239905C0">
      <w:r>
        <w:rPr>
          <w:b/>
        </w:rPr>
        <w:t>建议中文题目：</w:t>
      </w:r>
      <w:r>
        <w:t>少样本工业异常定位中新增视觉表征与正常参考匹配的交互研究。</w:t>
      </w:r>
    </w:p>
    <w:p w14:paraId="6CFA5727">
      <w:r>
        <w:rPr>
          <w:b/>
        </w:rPr>
        <w:t>英文工作题目：</w:t>
      </w:r>
      <w:r>
        <w:t>Interaction between Additional Visual Representations and Normal Reference Matching in Few-Shot Industrial Anomaly Localization.</w:t>
      </w:r>
    </w:p>
    <w:p w14:paraId="7E477867">
      <w:r>
        <w:t>题目用“交互研究”表达研究对象，不预设交互方向一定为正。若直接交互证据不足，采用较宽且已有结果支撑的题目：“少样本工业异常定位中固定多视觉分支融合的收益与局限”。最终题目与结论随验证收口，不使用“最优融合”“性能上限”或未经核实的“首次”。</w:t>
      </w:r>
    </w:p>
    <w:p w14:paraId="3565B4B9">
      <w:r>
        <w:rPr>
          <w:b/>
        </w:rPr>
        <w:t>核心问题：</w:t>
      </w:r>
      <w:r>
        <w:t>加入一个视觉编码器时，额外表征的价值是否受到“各分支必须共用</w:t>
      </w:r>
      <w:r>
        <w:rPr>
          <w:b/>
          <w:bCs/>
          <w:color w:val="C00000"/>
        </w:rPr>
        <w:t>同一个正常参考 patch</w:t>
      </w:r>
      <w:r>
        <w:t>”这一约束影响？在权重、正常支持集和后处理一致的条件下，改变参考选择方式能否改变新增表征的收益？</w:t>
      </w:r>
    </w:p>
    <w:p w14:paraId="501629F7">
      <w:r>
        <w:rPr>
          <w:b/>
        </w:rPr>
        <w:t>论文论证顺序：</w:t>
      </w:r>
      <w:r>
        <w:t>明确参考选择约束 → 排除复制分支造成的权重变化 → 比较真实表征替换 → 直接估计表征与匹配的交互 → 检查参考数量、类别及编码器条件 → 通过成熟基线和计算成本解释实用价值。</w:t>
      </w:r>
    </w:p>
    <w:p w14:paraId="3A713FA0">
      <w:pPr>
        <w:pStyle w:val="3"/>
      </w:pPr>
      <w:r>
        <w:t>摘要 Abstract</w:t>
      </w:r>
      <w:bookmarkStart w:id="0" w:name="_GoBack"/>
      <w:bookmarkEnd w:id="0"/>
    </w:p>
    <w:p w14:paraId="2BCDBCFD">
      <w:pPr>
        <w:pStyle w:val="4"/>
      </w:pPr>
      <w:r>
        <w:t>摘要的段落结构</w:t>
      </w:r>
    </w:p>
    <w:p w14:paraId="684EB194">
      <w:r>
        <w:t>沿用原稿单段摘要的形式，按“应用背景—具体困难—研究设计—已知发现—意义”组织。英文扩写控制在约 180—200 词，最终服从目标期刊要求。摘要不列全部变体名、seed 或统计实现细节；先解释任务，首次出现的缩写给全称。</w:t>
      </w:r>
    </w:p>
    <w:p w14:paraId="17977870">
      <w:pPr>
        <w:pStyle w:val="4"/>
      </w:pPr>
      <w:r>
        <w:t>中文摘要工作稿</w:t>
      </w:r>
    </w:p>
    <w:p w14:paraId="695C4835">
      <w:pPr>
        <w:rPr>
          <w:rFonts w:hint="eastAsia"/>
          <w:color w:val="C00000"/>
          <w:lang w:val="en-US" w:eastAsia="zh-CN"/>
        </w:rPr>
      </w:pPr>
      <w:r>
        <w:t>少样本工业异常定位利用少量正常参考图像识别待测图像中的异常区域。融合多个预训练视觉编码器能够利用不同表征，但新增分支通常同时改变有效权重与正常参考匹配关系，使性能变化难以归因。</w:t>
      </w:r>
      <w:r>
        <w:rPr>
          <w:rFonts w:hint="eastAsia"/>
          <w:lang w:eastAsia="zh-CN"/>
        </w:rPr>
        <w:t>（</w:t>
      </w:r>
      <w:r>
        <w:rPr>
          <w:rFonts w:hint="eastAsia"/>
          <w:color w:val="C00000"/>
          <w:lang w:val="en-US" w:eastAsia="zh-CN"/>
        </w:rPr>
        <w:t>新增视觉分支对权重和匹配方式以及结果都会有影响，这些影响是怎样的</w:t>
      </w:r>
    </w:p>
    <w:p w14:paraId="16F4A9D9">
      <w:r>
        <w:rPr>
          <w:rFonts w:hint="eastAsia"/>
          <w:lang w:eastAsia="zh-CN"/>
        </w:rPr>
        <w:t>）</w:t>
      </w:r>
      <w:r>
        <w:t>本文围绕新增视觉表征与参考匹配方式的关系开展受控研究，在冻结编码器、共享正常支持集和一致评分流程下，构建复制分支、表征替换和家族总权重保持对照，并比较共同参考匹配与独立参考匹配。进一步通过两种匹配方式下表征替换效应的差值，检验新增表征的收益是否依赖参考选择约束。现有结果表明，独立匹配在所研究组合中具有较稳定的平均优势，而第三视觉分支的收益随数据集与融合设置变化；直接交互的可靠性及其适用条件仍在验证。本文旨在给出比单纯增加分支数量更具体的融合分析依据，为少量正常参考条件下的方案选择提供可复核的经验认识。</w:t>
      </w:r>
    </w:p>
    <w:p w14:paraId="5D2EA5C0">
      <w:r>
        <w:t>上述最后两句是导师审阅阶段的真实状态说明。正式投稿摘要须替换为最终验证得到的结果和数字，不能保留“仍在验证”，也不能提前改成“证明交互显著”。代码地址在正式项目命名和可访问性核验后补入。</w:t>
      </w:r>
    </w:p>
    <w:p w14:paraId="2ECC6B5B">
      <w:r>
        <w:rPr>
          <w:b/>
        </w:rPr>
        <w:t>关键词：</w:t>
      </w:r>
      <w:r>
        <w:t>少样本工业异常定位；冻结视觉编码器；正常参考匹配；固定融合；表征交互。</w:t>
      </w:r>
    </w:p>
    <w:p w14:paraId="4524BC91">
      <w:pPr>
        <w:pStyle w:val="3"/>
      </w:pPr>
      <w:r>
        <w:t>1 引言 Introduction</w:t>
      </w:r>
    </w:p>
    <w:p w14:paraId="2E3F380F">
      <w:pPr>
        <w:pStyle w:val="4"/>
      </w:pPr>
      <w:r>
        <w:t>1.1 应用背景与少样本约束</w:t>
      </w:r>
    </w:p>
    <w:p w14:paraId="202EB7C0">
      <w:r>
        <w:t>第一段说明工业质检中新品类缺陷标注难以获得、正常样本也可能有限的实际场景。明确本文的 few-shot 是每类仅有少量正常参考图，目标同时包括图像级异常判断与像素级定位；正文以像素定位为主要分析对象。</w:t>
      </w:r>
    </w:p>
    <w:p w14:paraId="676B10F8">
      <w:r>
        <w:t>第二段介绍冻结预训练视觉表征和正常记忆库的优势：无需目标域训练，可以从正常局部外观构造参照。自然引出多编码器融合的动机，但不先验指定某个分支专门负责纹理、结构或语义，这种功能分工需要独立证据。</w:t>
      </w:r>
    </w:p>
    <w:p w14:paraId="111BADD1">
      <w:pPr>
        <w:pStyle w:val="4"/>
      </w:pPr>
      <w:r>
        <w:t>1.2 从分支数量转向收益来源</w:t>
      </w:r>
    </w:p>
    <w:p w14:paraId="6D319373">
      <w:r>
        <w:t>第三段指出：双分支变为三分支不仅增加一个模型，还可能改变原分支的总权重。若各分支共同选取一个参考 patch，新分支也参与决定匹配对象。因而直接比较两支与三支的指标，不能单独回答“新视觉信息有没有帮助”。</w:t>
      </w:r>
    </w:p>
    <w:p w14:paraId="6B20BBEC">
      <w:r>
        <w:t>第四段提出更具体的困难：不同编码器对正常局部相似性的判断可能不一致。共同匹配要求它们在一个参考位置上达成折中，独立匹配则允许每支保留自己的最近参考。两者的分数差异是数学上的约束差，但定位性能取决于正常与异常区域的排序，不能直接从距离大小推出。</w:t>
      </w:r>
    </w:p>
    <w:p w14:paraId="75D2A3B8">
      <w:pPr>
        <w:pStyle w:val="4"/>
      </w:pPr>
      <w:r>
        <w:t>1.3 研究空白与本文定位</w:t>
      </w:r>
    </w:p>
    <w:p w14:paraId="1AAC92D9">
      <w:r>
        <w:rPr>
          <w:b/>
        </w:rPr>
        <w:t>建议写入引言的空白陈述：</w:t>
      </w:r>
      <w:r>
        <w:t>现有预训练特征与融合研究已经建立了多种有效的异常检测系统。然而，某一融合系统的整体性能不能直接区分新增表征、有效权重与参考选择约束各自的作用。本文聚焦一个更具体的问题：在固定权重与正常支持条件下，新增表征的定位收益是否随共同或独立参考匹配而改变，并进一步考察这种关系在参考数量和类别条件下的稳定性。</w:t>
      </w:r>
    </w:p>
    <w:p w14:paraId="3F443B0A">
      <w:r>
        <w:t>这段陈述将空白落在可检验的关系上，而非宣称此前无人融合 CLIP 与 DINOv2。Sea-CLIP 已利用二者进行异常匹配与预测细化；AnomalyDINO 已建立无需目标训练的视觉 patch 近邻检测方法；另有研究从架构角度分析 3D 多模态异常融合。[文献 1—3] 本文需在这些工作基础上说明分析对象、控制变量和估计量的区别。最终“尚未系统研究”的程度仍须逐篇正文核查，当前不使用排他性的首次主张。</w:t>
      </w:r>
    </w:p>
    <w:p w14:paraId="07F1369C">
      <w:pPr>
        <w:pStyle w:val="4"/>
      </w:pPr>
      <w:r>
        <w:t>1.4 研究问题与整体思路</w:t>
      </w:r>
    </w:p>
    <w:p w14:paraId="2D78842C">
      <w:r>
        <w:rPr>
          <w:b/>
        </w:rPr>
        <w:t>RQ1 权重与表征。</w:t>
      </w:r>
      <w:r>
        <w:t>复制已有分支造成的有效权重变化，与引入真实新编码器的变化是否不同？</w:t>
      </w:r>
    </w:p>
    <w:p w14:paraId="46CC5F8C">
      <w:r>
        <w:rPr>
          <w:b/>
        </w:rPr>
        <w:t>RQ2 核心交互。</w:t>
      </w:r>
      <w:r>
        <w:t>在相同表征替换和固定权重下，共同与独立参考匹配是否产生不同的替换收益？</w:t>
      </w:r>
    </w:p>
    <w:p w14:paraId="098E3355">
      <w:r>
        <w:rPr>
          <w:b/>
        </w:rPr>
        <w:t>RQ3 条件与价值。</w:t>
      </w:r>
      <w:r>
        <w:t>上述效应在不同 K、类别和预先指定的编码器组合下是否稳定，其收益是否值得增加的计算成本？</w:t>
      </w:r>
    </w:p>
    <w:p w14:paraId="53622448">
      <w:r>
        <w:t>RQ1 为 RQ2 排除权重混淆，RQ3 用于界定 RQ2 的范围。三者围绕一个问题，不写成互不关联的五条探索路线。引言不展开详细数据表和统计代码，相关协议放入第 4 节。</w:t>
      </w:r>
    </w:p>
    <w:p w14:paraId="7BC40F2F">
      <w:pPr>
        <w:pStyle w:val="4"/>
      </w:pPr>
      <w:r>
        <w:t>1.5 Contribution 详细审阅稿</w:t>
      </w:r>
    </w:p>
    <w:p w14:paraId="666DE4A4">
      <w:r>
        <w:rPr>
          <w:b/>
        </w:rPr>
        <w:t>贡献一　建立参考选择约束的统一分析表述。</w:t>
      </w:r>
      <w:r>
        <w:t>本文将固定多视觉分支融合中的正常参考选择显式建模为共同匹配与独立匹配两种形式，在相同正常支持集、分支特征、距离定义和固定权重下，分离“融合哪些描述信息”与“如何选择正常参照”两个设计因素。通过共同匹配分数、独立匹配分数及其约束差，明确跨分支共享参考位置所施加的限制，并区分分数变化与定位收益。这一分析使原先笼统的联合特征检索与分数融合比较，转化为可追踪到参考 patch 的具体研究对象，为后续分析新增表征的作用提供统一基础。</w:t>
      </w:r>
    </w:p>
    <w:p w14:paraId="454BDD0D">
      <w:r>
        <w:rPr>
          <w:b/>
        </w:rPr>
        <w:t>贡献二　构建隔离有效权重与新增表征的交互识别设计。</w:t>
      </w:r>
      <w:r>
        <w:t>针对增加分支时模型数量、已有分支权重和新信息同时变化的问题，本文以双分支构造为锚点，设置不增加新信息的复制分支对照、用真实新编码器替换复制分支的对照，以及保持 DINO 家族与另一分支总权重的补充对照。在每种构造上分别采用共同与独立匹配，通过同一表征替换在两种匹配规则下的效应差，直接刻画新增表征与参考匹配的交互。这一设计回答的不只是某个三分支系统是否更好，而是新增表征的价值是否受到匹配约束影响，并避免把权重重分配误当成新信息的贡献。</w:t>
      </w:r>
    </w:p>
    <w:p w14:paraId="5534A211">
      <w:r>
        <w:rPr>
          <w:b/>
        </w:rPr>
        <w:t>贡献三　形成固定融合收益具有条件性的实证认识。</w:t>
      </w:r>
      <w:r>
        <w:t>在当前少量正常参考和冻结编码器设置中，本文观察到独立参考匹配具有较稳定的平均定位优势，而新增视觉分支并未带来跨数据集、跨构造的一致提升。本文进一步以直接交互、嵌套参考数量、逐类差异与失败案例界定这一现象，区分“新表征总体有用”与“其收益依赖匹配方式”两个不同判断。最终目标是形成有适用条件的融合选择依据：在扩大编码器集合前，先检验有效权重与参考选择是否限制其收益，并同时考虑代价和负迁移。</w:t>
      </w:r>
    </w:p>
    <w:p w14:paraId="6790138D">
      <w:r>
        <w:rPr>
          <w:b/>
        </w:rPr>
        <w:t>贡献末尾的验证说明：</w:t>
      </w:r>
      <w:r>
        <w:t>为支撑上述分析，论文报告 MPDD 与 BTAD 上的固定条件比较、完整定位指标、配对不确定性和类别分析，并结合成熟方法配置参照及资源测量检验其实际意义。实验规模与评价流程用于支持前三项贡献，不单独包装为第四个方法创新。</w:t>
      </w:r>
    </w:p>
    <w:p w14:paraId="330C2A8F">
      <w:pPr>
        <w:pStyle w:val="4"/>
      </w:pPr>
      <w:r>
        <w:t>1.6 三项贡献的创新依据与当前证据</w:t>
      </w:r>
    </w:p>
    <w:p w14:paraId="471F28C0">
      <w:r>
        <w:rPr>
          <w:b/>
        </w:rPr>
        <w:t>贡献一的价值与边界。</w:t>
      </w:r>
      <w:r>
        <w:t>价值是把参考选择约束作为独立研究维度，并为观察到的现象建立一致解释语言；不是发明最小值运算、余弦距离或独立最近邻。共同与独立匹配的基本不等式属于已知代数事实，不能写成原创定理。对应第 3.3 节及图 2。</w:t>
      </w:r>
    </w:p>
    <w:p w14:paraId="1DDC9958">
      <w:r>
        <w:rPr>
          <w:b/>
        </w:rPr>
        <w:t>贡献二的价值与边界。</w:t>
      </w:r>
      <w:r>
        <w:t>价值是针对本任务的混淆因素构造公平的表征替换与直接交互比较；不是提出新的统计学差分估计器。A1、DUP、TRI、BAL 的 J/L 主矩阵已经产出，直接交互区间与最新几何版本下的验证尚未完成。正文可写清研究设计，结论暂不写“已证明共同匹配抑制新信息”。对应第 3.4—3.5 节及第 4.2.2—4.2.4 节。</w:t>
      </w:r>
    </w:p>
    <w:p w14:paraId="0A1C8325">
      <w:r>
        <w:rPr>
          <w:b/>
        </w:rPr>
        <w:t>贡献三的价值与边界。</w:t>
      </w:r>
      <w:r>
        <w:t>价值来自条件性认识及可追溯反例，而非“做了很多实验”。当前最稳定的证据是匹配规则的平均效应；新增表征的条件差异是事实线索，直接交互是否可靠、能否扩展到另一编码器组合，仍需验证。实用选择依据应在资源与基线比较后限定，不将其提前写成普遍算法准则。</w:t>
      </w:r>
    </w:p>
    <w:p w14:paraId="1C2DF8AE">
      <w:r>
        <w:rPr>
          <w:b/>
        </w:rPr>
        <w:t>与老师原先意见的衔接。</w:t>
      </w:r>
      <w:r>
        <w:t>原稿希望形成“框架与模块”的贡献结构，但现阶段没有三个独立、原创且已验证的新网络模块。本提纲按最新主题提出“分析表述—交互识别—条件性发现”三项研究贡献，并让每项对应明确技术内容与证据。写作能澄清价值，不能单独补足原创性。若目标期刊或老师仍要求新模块，需要在该研究问题下验证新的技术方案，不能把 ROI、DYT 或现有归一化操作换名后充作已完成创新。</w:t>
      </w:r>
    </w:p>
    <w:p w14:paraId="4BE2507F">
      <w:pPr>
        <w:pStyle w:val="3"/>
      </w:pPr>
      <w:r>
        <w:t>2 相关工作 Related Work</w:t>
      </w:r>
    </w:p>
    <w:p w14:paraId="4A4C7617">
      <w:r>
        <w:t>沿用老师要求的“总述—三类工作—跨类总结”，正式稿相关工作约 22—25 篇、全文约 30 篇，近三年文献占比争取达到约 70%。这些是写作规模目标，优先保证相关性和一手来源，不以数量填充。最终引用按首次出现排序。</w:t>
      </w:r>
    </w:p>
    <w:p w14:paraId="6B59594F">
      <w:pPr>
        <w:pStyle w:val="4"/>
      </w:pPr>
      <w:r>
        <w:t>2.1 基于重建与单类建模的异常检测</w:t>
      </w:r>
    </w:p>
    <w:p w14:paraId="1FD525F2">
      <w:r>
        <w:t>概括重建误差、正常分布与单类建模的基本思路，说明其训练或适配需求。与本文的联系是“如何定义正常”，区别在于本文固定预训练编码器并采用正常参考检索。本小节只保留建立背景所需的代表工作，不让与核心匹配问题较远的方法占据大量篇幅。</w:t>
      </w:r>
    </w:p>
    <w:p w14:paraId="3B388EB3">
      <w:pPr>
        <w:pStyle w:val="4"/>
      </w:pPr>
      <w:r>
        <w:t>2.2 基于特征与正常记忆库的少样本检测</w:t>
      </w:r>
    </w:p>
    <w:p w14:paraId="53C5CC61">
      <w:r>
        <w:t>介绍 PatchCore 类正常特征记忆方法及 AnomalyDINO 类冻结视觉表征方法，关注参考覆盖、patch 近邻、预处理与异常分数形成。说明正常支持图数量、候选参考行和检索过程对本文问题的重要性。完整基线方法与受控单编码器管线应分开描述，不能混称。</w:t>
      </w:r>
    </w:p>
    <w:p w14:paraId="708EA11A">
      <w:pPr>
        <w:pStyle w:val="4"/>
      </w:pPr>
      <w:r>
        <w:t>2.3 基础模型与多分支融合</w:t>
      </w:r>
    </w:p>
    <w:p w14:paraId="2B9925E6">
      <w:r>
        <w:t>围绕预训练视觉或视觉语言模型、特征层融合、分数层融合与学习型匹配展开。重点阅读与 CLIP/DINO 组合、跨分支匹配或融合架构最接近的研究。Sea-CLIP 的语义表征与匹配解码器、3D-ADNAS 的多模态架构搜索，说明组合及融合结构本身已有研究基础；其任务和目标也不能直接等同于本文的冻结二维视觉检索对照。[文献 1、3]</w:t>
      </w:r>
    </w:p>
    <w:p w14:paraId="038C1274">
      <w:pPr>
        <w:pStyle w:val="4"/>
      </w:pPr>
      <w:r>
        <w:t>2.4 跨类总结与差异核查</w:t>
      </w:r>
    </w:p>
    <w:p w14:paraId="7895C14E">
      <w:r>
        <w:t>本段是跨类总结，不另立第四类方法。按任务输入、是否目标训练、融合层级、是否强制共用正常参考行、是否控制有效权重、是否直接检验表征与匹配交互、是否分析支持预算逐项比较。对尚未读到相关正文的项记为待核实，不填“没有”。</w:t>
      </w:r>
    </w:p>
    <w:p w14:paraId="5A93085B">
      <w:r>
        <w:t>本轮只核对了少量关键一手入口，尚不构成完整新颖性检索。旧材料中 CIF 的身份与部分 Sea-CLIP 判断有误，不沿用原差异表的 yes/no 结论。</w:t>
      </w:r>
    </w:p>
    <w:p w14:paraId="60F0B5B8">
      <w:pPr>
        <w:pStyle w:val="3"/>
      </w:pPr>
      <w:r>
        <w:t>3 研究框架与方法 Framework and Methods</w:t>
      </w:r>
    </w:p>
    <w:p w14:paraId="0366A5D7">
      <w:r>
        <w:t>本节沿用原稿 3.1—3.7 的组织形式，用新的匹配问题替换原来的双编码器模块叙述。总体流程说明共用系统，实验中的三分支构造放入受控设计小节，不暗示存在一个已确定最优的三分支新网络。</w:t>
      </w:r>
    </w:p>
    <w:p w14:paraId="55545188">
      <w:pPr>
        <w:pStyle w:val="4"/>
      </w:pPr>
      <w:r>
        <w:t>3.1 问题定义 Problem Statement</w:t>
      </w:r>
    </w:p>
    <w:p w14:paraId="6A2FB60C">
      <w:r>
        <w:t>输入为某一类别的 K 张正常支持图与一张待测图像。支持图仅用于建立正常参考库；测试标签只用于离线评价，不参与权重选择、参考选择或推理路由。类别、支持样本、查询 patch、参考 patch 和分支索引分别定义，避免同一个字母兼指分支、分数与空间集合。</w:t>
      </w:r>
    </w:p>
    <w:p w14:paraId="74D7A5A3">
      <w:r>
        <w:t>原生输出为像素异常分数图及图像级异常分数，不输出缺陷类别。图中按课堂要求展示同一待测图的热图和预测轮廓；轮廓单列为可视化后处理，阈值规则需说明，不使用真实标注轮廓冒充预测。</w:t>
      </w:r>
    </w:p>
    <w:p w14:paraId="4F9696B1">
      <w:r>
        <w:rPr>
          <w:b/>
        </w:rPr>
        <w:t>符号约定：</w:t>
      </w:r>
      <w:r>
        <w:t>沿用原稿的正常支持集、输入图像和类别符号；新增 B、S、C 作为编码器标签，J、L 作为匹配规则标签，G 表示约束分数差。宏平均像素 AP 记为 P，作为性能函数使用，不能与 patch 位置总数同符号。正式写作先建立符号表，再统一图片；本提纲的实验标签不视为已经冻结的数学字体。</w:t>
      </w:r>
    </w:p>
    <w:p w14:paraId="0D759D34">
      <w:pPr>
        <w:pStyle w:val="4"/>
      </w:pPr>
      <w:r>
        <w:t>3.2 总体结构与检测流程 Overview</w:t>
      </w:r>
    </w:p>
    <w:p w14:paraId="5E1C8FA0">
      <w:r>
        <w:t>上路由多张同类正常支持图经过冻结编码器与坐标对齐，建立带共同参考行身份的分支记忆库；下路对查询图执行相同特征变换，读取固定记忆库，经固定权重与指定匹配规则得到局部分数，再恢复到评价画布并平滑。库在查询时不更新。</w:t>
      </w:r>
    </w:p>
    <w:p w14:paraId="5B9507B3">
      <w:r>
        <w:t>主图突出两层信息：实际检测路径与本文研究的可控因素。实际路径保持清楚，研究因素用简洁的旁注或子面板表示“权重”“表征替换”“匹配规则”。三分支不画成在推理时动态增减；DUP 也不画成训练了一个新模型。</w:t>
      </w:r>
    </w:p>
    <w:p w14:paraId="69D178C4">
      <w:pPr>
        <w:pStyle w:val="4"/>
      </w:pPr>
      <w:r>
        <w:t>3.3 冻结表征与参考匹配形式</w:t>
      </w:r>
    </w:p>
    <w:p w14:paraId="2C703D5F">
      <w:r>
        <w:t>B 为 DINOv2-B，S 为 DINOv2-S，C 为 AnomalyCLIP 的视觉特征，三者均为视觉分支。C 的预训练来源与 VisA 有关，需要披露；不将其描述为从未接触工业数据的纯通用编码器。分支采用各自已审计的特征层和预处理，并映射到共同网格，逐位置归一化。</w:t>
      </w:r>
    </w:p>
    <w:p w14:paraId="52AD3CC5">
      <w:r>
        <w:t>共同参考行 r 同时标识支持图像及其对齐网格位置。不同分支在该行保存各自特征，特征维度可以不同。令 q 为查询 patch，</w:t>
      </w:r>
      <m:oMath>
        <m:sSub>
          <m:sSubPr/>
          <m:e>
            <m:r>
              <m:rPr/>
              <w:rPr>
                <w:rFonts w:ascii="Cambria Math" w:hAnsi="Cambria Math"/>
              </w:rPr>
              <m:t>d</m:t>
            </m:r>
          </m:e>
          <m:sub>
            <m:r>
              <m:rPr/>
              <w:rPr>
                <w:rFonts w:ascii="Cambria Math" w:hAnsi="Cambria Math"/>
              </w:rPr>
              <m:t>b</m:t>
            </m:r>
          </m:sub>
        </m:sSub>
        <m:r>
          <m:rPr/>
          <w:rPr>
            <w:rFonts w:ascii="Cambria Math" w:hAnsi="Cambria Math"/>
          </w:rPr>
          <m:t>(q,r)</m:t>
        </m:r>
      </m:oMath>
      <w:r>
        <w:t xml:space="preserve"> 为分支 b 的非负距离，</w:t>
      </w:r>
      <m:oMath>
        <m:sSub>
          <m:sSubPr/>
          <m:e>
            <m:r>
              <m:rPr/>
              <w:rPr>
                <w:rFonts w:ascii="Cambria Math" w:hAnsi="Cambria Math"/>
              </w:rPr>
              <m:t>w</m:t>
            </m:r>
          </m:e>
          <m:sub>
            <m:r>
              <m:rPr/>
              <w:rPr>
                <w:rFonts w:ascii="Cambria Math" w:hAnsi="Cambria Math"/>
              </w:rPr>
              <m:t>b</m:t>
            </m:r>
          </m:sub>
        </m:sSub>
      </m:oMath>
      <w:r>
        <w:t xml:space="preserve"> 为固定非负权重，权重和为 1。</w:t>
      </w:r>
    </w:p>
    <w:p w14:paraId="1E16C979">
      <w:pPr>
        <w:jc w:val="center"/>
      </w:pPr>
      <m:oMath>
        <m:r>
          <m:rPr/>
          <w:rPr>
            <w:rFonts w:ascii="Cambria Math" w:hAnsi="Cambria Math"/>
          </w:rPr>
          <m:t>J(q) =</m:t>
        </m:r>
        <m:limLow>
          <m:limLowPr/>
          <m:e>
            <m:r>
              <m:rPr>
                <m:sty m:val="p"/>
              </m:rPr>
              <w:rPr>
                <w:rFonts w:ascii="Cambria Math" w:hAnsi="Cambria Math"/>
              </w:rPr>
              <m:t>min</m:t>
            </m:r>
          </m:e>
          <m:lim>
            <m:r>
              <m:rPr/>
              <w:rPr>
                <w:rFonts w:ascii="Cambria Math" w:hAnsi="Cambria Math"/>
              </w:rPr>
              <m:t>r</m:t>
            </m:r>
          </m:lim>
        </m:limLow>
        <m:nary>
          <m:naryPr>
            <m:chr m:val="∑"/>
            <m:supHide m:val="1"/>
          </m:naryPr>
          <m:sub>
            <m:r>
              <m:rPr/>
              <w:rPr>
                <w:rFonts w:ascii="Cambria Math" w:hAnsi="Cambria Math"/>
              </w:rPr>
              <m:t>b</m:t>
            </m:r>
          </m:sub>
          <m:sup/>
          <m:e>
            <m:sSub>
              <m:sSubPr/>
              <m:e>
                <m:r>
                  <m:rPr/>
                  <w:rPr>
                    <w:rFonts w:ascii="Cambria Math" w:hAnsi="Cambria Math"/>
                  </w:rPr>
                  <m:t>w</m:t>
                </m:r>
              </m:e>
              <m:sub>
                <m:r>
                  <m:rPr/>
                  <w:rPr>
                    <w:rFonts w:ascii="Cambria Math" w:hAnsi="Cambria Math"/>
                  </w:rPr>
                  <m:t>b</m:t>
                </m:r>
              </m:sub>
            </m:sSub>
            <m:sSub>
              <m:sSubPr/>
              <m:e>
                <m:r>
                  <m:rPr/>
                  <w:rPr>
                    <w:rFonts w:ascii="Cambria Math" w:hAnsi="Cambria Math"/>
                  </w:rPr>
                  <m:t>d</m:t>
                </m:r>
              </m:e>
              <m:sub>
                <m:r>
                  <m:rPr/>
                  <w:rPr>
                    <w:rFonts w:ascii="Cambria Math" w:hAnsi="Cambria Math"/>
                  </w:rPr>
                  <m:t>b</m:t>
                </m:r>
              </m:sub>
            </m:sSub>
            <m:r>
              <m:rPr/>
              <w:rPr>
                <w:rFonts w:ascii="Cambria Math" w:hAnsi="Cambria Math"/>
              </w:rPr>
              <m:t>(q,r)</m:t>
            </m:r>
          </m:e>
        </m:nary>
      </m:oMath>
      <w:r>
        <w:t xml:space="preserve">    (1)</w:t>
      </w:r>
    </w:p>
    <w:p w14:paraId="35A9529D">
      <w:pPr>
        <w:jc w:val="center"/>
      </w:pPr>
      <m:oMath>
        <m:r>
          <m:rPr/>
          <w:rPr>
            <w:rFonts w:ascii="Cambria Math" w:hAnsi="Cambria Math"/>
          </w:rPr>
          <m:t>L(q) =</m:t>
        </m:r>
        <m:nary>
          <m:naryPr>
            <m:chr m:val="∑"/>
            <m:supHide m:val="1"/>
          </m:naryPr>
          <m:sub>
            <m:r>
              <m:rPr/>
              <w:rPr>
                <w:rFonts w:ascii="Cambria Math" w:hAnsi="Cambria Math"/>
              </w:rPr>
              <m:t>b</m:t>
            </m:r>
          </m:sub>
          <m:sup/>
          <m:e>
            <m:sSub>
              <m:sSubPr/>
              <m:e>
                <m:r>
                  <m:rPr/>
                  <w:rPr>
                    <w:rFonts w:ascii="Cambria Math" w:hAnsi="Cambria Math"/>
                  </w:rPr>
                  <m:t>w</m:t>
                </m:r>
              </m:e>
              <m:sub>
                <m:r>
                  <m:rPr/>
                  <w:rPr>
                    <w:rFonts w:ascii="Cambria Math" w:hAnsi="Cambria Math"/>
                  </w:rPr>
                  <m:t>b</m:t>
                </m:r>
              </m:sub>
            </m:sSub>
            <m:limLow>
              <m:limLowPr/>
              <m:e>
                <m:r>
                  <m:rPr>
                    <m:sty m:val="p"/>
                  </m:rPr>
                  <w:rPr>
                    <w:rFonts w:ascii="Cambria Math" w:hAnsi="Cambria Math"/>
                  </w:rPr>
                  <m:t>min</m:t>
                </m:r>
              </m:e>
              <m:lim>
                <m:r>
                  <m:rPr/>
                  <w:rPr>
                    <w:rFonts w:ascii="Cambria Math" w:hAnsi="Cambria Math"/>
                  </w:rPr>
                  <m:t>r</m:t>
                </m:r>
              </m:lim>
            </m:limLow>
            <m:sSub>
              <m:sSubPr/>
              <m:e>
                <m:r>
                  <m:rPr/>
                  <w:rPr>
                    <w:rFonts w:ascii="Cambria Math" w:hAnsi="Cambria Math"/>
                  </w:rPr>
                  <m:t>d</m:t>
                </m:r>
              </m:e>
              <m:sub>
                <m:r>
                  <m:rPr/>
                  <w:rPr>
                    <w:rFonts w:ascii="Cambria Math" w:hAnsi="Cambria Math"/>
                  </w:rPr>
                  <m:t>b</m:t>
                </m:r>
              </m:sub>
            </m:sSub>
            <m:r>
              <m:rPr/>
              <w:rPr>
                <w:rFonts w:ascii="Cambria Math" w:hAnsi="Cambria Math"/>
              </w:rPr>
              <m:t>(q,r)</m:t>
            </m:r>
          </m:e>
        </m:nary>
      </m:oMath>
      <w:r>
        <w:t xml:space="preserve">    (2)</w:t>
      </w:r>
    </w:p>
    <w:p w14:paraId="6FC1D610">
      <w:pPr>
        <w:jc w:val="center"/>
      </w:pPr>
      <m:oMath>
        <m:r>
          <m:rPr/>
          <w:rPr>
            <w:rFonts w:ascii="Cambria Math" w:hAnsi="Cambria Math"/>
          </w:rPr>
          <m:t>G(q) = J(q) − L(q) ≥ 0</m:t>
        </m:r>
      </m:oMath>
      <w:r>
        <w:t xml:space="preserve">    (3)</w:t>
      </w:r>
    </w:p>
    <w:p w14:paraId="4329A353">
      <w:r>
        <w:t>J 要求各分支使用同一参考行，L 允许每支使用自己的参考行。相同候选集合且权重非负时，G 非负；若各支存在共同的最优参考行，则约束差为零。应把这个事实用于解释约束，而非命名为新定理。G 大也不等于定位损失大，需比较正常与异常位置的排序及 AP。</w:t>
      </w:r>
    </w:p>
    <w:p w14:paraId="2E67F383">
      <w:r>
        <w:t>距离定义、是否为平方欧氏距离的一半、是否等价于余弦距离，以及特征缩放与有效距离权重之间的关系，需要与当前实现一致。不得把旧图中的 0.5 特征系数直接当作任意新构造的距离权重。</w:t>
      </w:r>
    </w:p>
    <w:p w14:paraId="36E7F040">
      <w:pPr>
        <w:pStyle w:val="4"/>
      </w:pPr>
      <w:r>
        <w:t>3.4 权重与表征替换的受控设计</w:t>
      </w:r>
    </w:p>
    <w:tbl>
      <w:tblPr>
        <w:tblStyle w:val="32"/>
        <w:tblW w:w="0" w:type="auto"/>
        <w:tblInd w:w="0" w:type="dxa"/>
        <w:tblLayout w:type="fixed"/>
        <w:tblCellMar>
          <w:top w:w="0" w:type="dxa"/>
          <w:left w:w="108" w:type="dxa"/>
          <w:bottom w:w="0" w:type="dxa"/>
          <w:right w:w="108" w:type="dxa"/>
        </w:tblCellMar>
      </w:tblPr>
      <w:tblGrid>
        <w:gridCol w:w="1871"/>
        <w:gridCol w:w="4025"/>
        <w:gridCol w:w="3742"/>
      </w:tblGrid>
      <w:tr w14:paraId="2832D7FF">
        <w:tblPrEx>
          <w:tblCellMar>
            <w:top w:w="0" w:type="dxa"/>
            <w:left w:w="108" w:type="dxa"/>
            <w:bottom w:w="0" w:type="dxa"/>
            <w:right w:w="108" w:type="dxa"/>
          </w:tblCellMar>
        </w:tblPrEx>
        <w:trPr>
          <w:cantSplit/>
          <w:tblHeader/>
        </w:trPr>
        <w:tc>
          <w:tcPr>
            <w:tcW w:w="1871" w:type="dxa"/>
            <w:tcBorders>
              <w:top w:val="single" w:color="000000" w:sz="8" w:space="0"/>
              <w:left w:val="nil"/>
              <w:bottom w:val="single" w:color="000000" w:sz="8" w:space="0"/>
              <w:right w:val="nil"/>
            </w:tcBorders>
            <w:tcMar>
              <w:top w:w="90" w:type="dxa"/>
              <w:left w:w="90" w:type="dxa"/>
              <w:bottom w:w="90" w:type="dxa"/>
              <w:right w:w="90" w:type="dxa"/>
            </w:tcMar>
          </w:tcPr>
          <w:p w14:paraId="4A1D73AA">
            <w:pPr>
              <w:spacing w:before="40" w:after="40" w:line="252" w:lineRule="auto"/>
            </w:pPr>
            <w:r>
              <w:rPr>
                <w:b/>
                <w:sz w:val="21"/>
              </w:rPr>
              <w:t>构造</w:t>
            </w:r>
          </w:p>
        </w:tc>
        <w:tc>
          <w:tcPr>
            <w:tcW w:w="4025" w:type="dxa"/>
            <w:tcBorders>
              <w:top w:val="single" w:color="000000" w:sz="8" w:space="0"/>
              <w:left w:val="nil"/>
              <w:bottom w:val="single" w:color="000000" w:sz="8" w:space="0"/>
              <w:right w:val="nil"/>
            </w:tcBorders>
            <w:tcMar>
              <w:top w:w="90" w:type="dxa"/>
              <w:left w:w="90" w:type="dxa"/>
              <w:bottom w:w="90" w:type="dxa"/>
              <w:right w:w="90" w:type="dxa"/>
            </w:tcMar>
          </w:tcPr>
          <w:p w14:paraId="04036A64">
            <w:pPr>
              <w:spacing w:before="40" w:after="40" w:line="252" w:lineRule="auto"/>
            </w:pPr>
            <w:r>
              <w:rPr>
                <w:b/>
                <w:sz w:val="21"/>
              </w:rPr>
              <w:t>固定距离权重</w:t>
            </w:r>
          </w:p>
        </w:tc>
        <w:tc>
          <w:tcPr>
            <w:tcW w:w="3742" w:type="dxa"/>
            <w:tcBorders>
              <w:top w:val="single" w:color="000000" w:sz="8" w:space="0"/>
              <w:left w:val="nil"/>
              <w:bottom w:val="single" w:color="000000" w:sz="8" w:space="0"/>
              <w:right w:val="nil"/>
            </w:tcBorders>
            <w:tcMar>
              <w:top w:w="90" w:type="dxa"/>
              <w:left w:w="90" w:type="dxa"/>
              <w:bottom w:w="90" w:type="dxa"/>
              <w:right w:w="90" w:type="dxa"/>
            </w:tcMar>
          </w:tcPr>
          <w:p w14:paraId="48EAC754">
            <w:pPr>
              <w:spacing w:before="40" w:after="40" w:line="252" w:lineRule="auto"/>
            </w:pPr>
            <w:r>
              <w:rPr>
                <w:b/>
                <w:sz w:val="21"/>
              </w:rPr>
              <w:t>作用</w:t>
            </w:r>
          </w:p>
        </w:tc>
      </w:tr>
      <w:tr w14:paraId="3B5ABE88">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5611C57">
            <w:pPr>
              <w:spacing w:before="40" w:after="40" w:line="252" w:lineRule="auto"/>
            </w:pPr>
            <w:r>
              <w:rPr>
                <w:b w:val="0"/>
                <w:sz w:val="21"/>
              </w:rPr>
              <w:t>A1</w:t>
            </w:r>
          </w:p>
        </w:tc>
        <w:tc>
          <w:tcPr>
            <w:tcW w:w="4025" w:type="dxa"/>
            <w:tcBorders>
              <w:top w:val="nil"/>
              <w:left w:val="nil"/>
              <w:bottom w:val="nil"/>
              <w:right w:val="nil"/>
            </w:tcBorders>
            <w:tcMar>
              <w:top w:w="90" w:type="dxa"/>
              <w:left w:w="90" w:type="dxa"/>
              <w:bottom w:w="90" w:type="dxa"/>
              <w:right w:w="90" w:type="dxa"/>
            </w:tcMar>
          </w:tcPr>
          <w:p w14:paraId="575F8443">
            <w:pPr>
              <w:spacing w:before="40" w:after="40" w:line="252" w:lineRule="auto"/>
            </w:pPr>
            <w:r>
              <w:rPr>
                <w:b w:val="0"/>
                <w:sz w:val="21"/>
              </w:rPr>
              <w:t>B 为 1/2，C 为 1/2</w:t>
            </w:r>
          </w:p>
        </w:tc>
        <w:tc>
          <w:tcPr>
            <w:tcW w:w="3742" w:type="dxa"/>
            <w:tcBorders>
              <w:top w:val="nil"/>
              <w:left w:val="nil"/>
              <w:bottom w:val="nil"/>
              <w:right w:val="nil"/>
            </w:tcBorders>
            <w:tcMar>
              <w:top w:w="90" w:type="dxa"/>
              <w:left w:w="90" w:type="dxa"/>
              <w:bottom w:w="90" w:type="dxa"/>
              <w:right w:w="90" w:type="dxa"/>
            </w:tcMar>
          </w:tcPr>
          <w:p w14:paraId="24B53992">
            <w:pPr>
              <w:spacing w:before="40" w:after="40" w:line="252" w:lineRule="auto"/>
            </w:pPr>
            <w:r>
              <w:rPr>
                <w:b w:val="0"/>
                <w:sz w:val="21"/>
              </w:rPr>
              <w:t>既有双视觉锚点</w:t>
            </w:r>
          </w:p>
        </w:tc>
      </w:tr>
      <w:tr w14:paraId="382CB0E4">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D414F41">
            <w:pPr>
              <w:spacing w:before="40" w:after="40" w:line="252" w:lineRule="auto"/>
            </w:pPr>
            <w:r>
              <w:rPr>
                <w:b w:val="0"/>
                <w:sz w:val="21"/>
              </w:rPr>
              <w:t>DUP</w:t>
            </w:r>
          </w:p>
        </w:tc>
        <w:tc>
          <w:tcPr>
            <w:tcW w:w="4025" w:type="dxa"/>
            <w:tcBorders>
              <w:top w:val="nil"/>
              <w:left w:val="nil"/>
              <w:bottom w:val="nil"/>
              <w:right w:val="nil"/>
            </w:tcBorders>
            <w:tcMar>
              <w:top w:w="90" w:type="dxa"/>
              <w:left w:w="90" w:type="dxa"/>
              <w:bottom w:w="90" w:type="dxa"/>
              <w:right w:w="90" w:type="dxa"/>
            </w:tcMar>
          </w:tcPr>
          <w:p w14:paraId="69790E6A">
            <w:pPr>
              <w:spacing w:before="40" w:after="40" w:line="252" w:lineRule="auto"/>
            </w:pPr>
            <w:r>
              <w:rPr>
                <w:b w:val="0"/>
                <w:sz w:val="21"/>
              </w:rPr>
              <w:t>B 与 Bcopy 各 1/3，C 为 1/3</w:t>
            </w:r>
          </w:p>
        </w:tc>
        <w:tc>
          <w:tcPr>
            <w:tcW w:w="3742" w:type="dxa"/>
            <w:tcBorders>
              <w:top w:val="nil"/>
              <w:left w:val="nil"/>
              <w:bottom w:val="nil"/>
              <w:right w:val="nil"/>
            </w:tcBorders>
            <w:tcMar>
              <w:top w:w="90" w:type="dxa"/>
              <w:left w:w="90" w:type="dxa"/>
              <w:bottom w:w="90" w:type="dxa"/>
              <w:right w:w="90" w:type="dxa"/>
            </w:tcMar>
          </w:tcPr>
          <w:p w14:paraId="38426C1C">
            <w:pPr>
              <w:spacing w:before="40" w:after="40" w:line="252" w:lineRule="auto"/>
            </w:pPr>
            <w:r>
              <w:rPr>
                <w:b w:val="0"/>
                <w:sz w:val="21"/>
              </w:rPr>
              <w:t>不引入新表征，使 B 有效总权重变为 2/3</w:t>
            </w:r>
          </w:p>
        </w:tc>
      </w:tr>
      <w:tr w14:paraId="04DFE53F">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701BAEC9">
            <w:pPr>
              <w:spacing w:before="40" w:after="40" w:line="252" w:lineRule="auto"/>
            </w:pPr>
            <w:r>
              <w:rPr>
                <w:b w:val="0"/>
                <w:sz w:val="21"/>
              </w:rPr>
              <w:t>TRI</w:t>
            </w:r>
          </w:p>
        </w:tc>
        <w:tc>
          <w:tcPr>
            <w:tcW w:w="4025" w:type="dxa"/>
            <w:tcBorders>
              <w:top w:val="nil"/>
              <w:left w:val="nil"/>
              <w:bottom w:val="nil"/>
              <w:right w:val="nil"/>
            </w:tcBorders>
            <w:tcMar>
              <w:top w:w="90" w:type="dxa"/>
              <w:left w:w="90" w:type="dxa"/>
              <w:bottom w:w="90" w:type="dxa"/>
              <w:right w:w="90" w:type="dxa"/>
            </w:tcMar>
          </w:tcPr>
          <w:p w14:paraId="3B409EFD">
            <w:pPr>
              <w:spacing w:before="40" w:after="40" w:line="252" w:lineRule="auto"/>
            </w:pPr>
            <w:r>
              <w:rPr>
                <w:b w:val="0"/>
                <w:sz w:val="21"/>
              </w:rPr>
              <w:t>B、S、C 各 1/3</w:t>
            </w:r>
          </w:p>
        </w:tc>
        <w:tc>
          <w:tcPr>
            <w:tcW w:w="3742" w:type="dxa"/>
            <w:tcBorders>
              <w:top w:val="nil"/>
              <w:left w:val="nil"/>
              <w:bottom w:val="nil"/>
              <w:right w:val="nil"/>
            </w:tcBorders>
            <w:tcMar>
              <w:top w:w="90" w:type="dxa"/>
              <w:left w:w="90" w:type="dxa"/>
              <w:bottom w:w="90" w:type="dxa"/>
              <w:right w:w="90" w:type="dxa"/>
            </w:tcMar>
          </w:tcPr>
          <w:p w14:paraId="2D1ACEA7">
            <w:pPr>
              <w:spacing w:before="40" w:after="40" w:line="252" w:lineRule="auto"/>
            </w:pPr>
            <w:r>
              <w:rPr>
                <w:b w:val="0"/>
                <w:sz w:val="21"/>
              </w:rPr>
              <w:t>以真实 S 替换 Bcopy，保持替换槽位权重</w:t>
            </w:r>
          </w:p>
        </w:tc>
      </w:tr>
      <w:tr w14:paraId="0C562BAD">
        <w:tblPrEx>
          <w:tblCellMar>
            <w:top w:w="0" w:type="dxa"/>
            <w:left w:w="108" w:type="dxa"/>
            <w:bottom w:w="0" w:type="dxa"/>
            <w:right w:w="108" w:type="dxa"/>
          </w:tblCellMar>
        </w:tblPrEx>
        <w:trPr>
          <w:cantSplit/>
        </w:trPr>
        <w:tc>
          <w:tcPr>
            <w:tcW w:w="1871" w:type="dxa"/>
            <w:tcBorders>
              <w:top w:val="nil"/>
              <w:left w:val="nil"/>
              <w:bottom w:val="single" w:color="000000" w:sz="8" w:space="0"/>
              <w:right w:val="nil"/>
            </w:tcBorders>
            <w:tcMar>
              <w:top w:w="90" w:type="dxa"/>
              <w:left w:w="90" w:type="dxa"/>
              <w:bottom w:w="90" w:type="dxa"/>
              <w:right w:w="90" w:type="dxa"/>
            </w:tcMar>
          </w:tcPr>
          <w:p w14:paraId="79016F29">
            <w:pPr>
              <w:spacing w:before="40" w:after="40" w:line="252" w:lineRule="auto"/>
            </w:pPr>
            <w:r>
              <w:rPr>
                <w:b w:val="0"/>
                <w:sz w:val="21"/>
              </w:rPr>
              <w:t>BAL</w:t>
            </w:r>
          </w:p>
        </w:tc>
        <w:tc>
          <w:tcPr>
            <w:tcW w:w="4025" w:type="dxa"/>
            <w:tcBorders>
              <w:top w:val="nil"/>
              <w:left w:val="nil"/>
              <w:bottom w:val="single" w:color="000000" w:sz="8" w:space="0"/>
              <w:right w:val="nil"/>
            </w:tcBorders>
            <w:tcMar>
              <w:top w:w="90" w:type="dxa"/>
              <w:left w:w="90" w:type="dxa"/>
              <w:bottom w:w="90" w:type="dxa"/>
              <w:right w:w="90" w:type="dxa"/>
            </w:tcMar>
          </w:tcPr>
          <w:p w14:paraId="03C09FA6">
            <w:pPr>
              <w:spacing w:before="40" w:after="40" w:line="252" w:lineRule="auto"/>
            </w:pPr>
            <w:r>
              <w:rPr>
                <w:b w:val="0"/>
                <w:sz w:val="21"/>
              </w:rPr>
              <w:t>B、S 各 1/4，C 为 1/2</w:t>
            </w:r>
          </w:p>
        </w:tc>
        <w:tc>
          <w:tcPr>
            <w:tcW w:w="3742" w:type="dxa"/>
            <w:tcBorders>
              <w:top w:val="nil"/>
              <w:left w:val="nil"/>
              <w:bottom w:val="single" w:color="000000" w:sz="8" w:space="0"/>
              <w:right w:val="nil"/>
            </w:tcBorders>
            <w:tcMar>
              <w:top w:w="90" w:type="dxa"/>
              <w:left w:w="90" w:type="dxa"/>
              <w:bottom w:w="90" w:type="dxa"/>
              <w:right w:w="90" w:type="dxa"/>
            </w:tcMar>
          </w:tcPr>
          <w:p w14:paraId="381EF299">
            <w:pPr>
              <w:spacing w:before="40" w:after="40" w:line="252" w:lineRule="auto"/>
            </w:pPr>
            <w:r>
              <w:rPr>
                <w:b w:val="0"/>
                <w:sz w:val="21"/>
              </w:rPr>
              <w:t>保持 DINO 家族与 C 的总权重，各占一半</w:t>
            </w:r>
          </w:p>
        </w:tc>
      </w:tr>
    </w:tbl>
    <w:p w14:paraId="469AE22C">
      <w:pPr>
        <w:spacing w:after="0"/>
      </w:pPr>
    </w:p>
    <w:p w14:paraId="6094677D">
      <w:r>
        <w:t>每个构造都计算 J 与 L。A1→DUP 用于检查有效权重变化，DUP→TRI 用于检查固定槽位上的表征替换，A1→BAL 提供保持家族总权重的补充证据。BAL 保持的是家族总权重，不是每个具体编码器的权重；措辞中需保留这一差别。</w:t>
      </w:r>
    </w:p>
    <w:p w14:paraId="2FE0B8D6">
      <w:r>
        <w:t>TRI 与 A1 的直接差异同时改变权重和表征，只能作为整体表现，不能单独归因于 S。复制控制的数值等价性用于验证实现，不作为额外独立算法计数。</w:t>
      </w:r>
    </w:p>
    <w:p w14:paraId="7B39D3AB">
      <w:pPr>
        <w:pStyle w:val="4"/>
      </w:pPr>
      <w:r>
        <w:t>3.5 新增表征与匹配方式的直接交互</w:t>
      </w:r>
    </w:p>
    <w:p w14:paraId="4F186F38">
      <w:r>
        <w:t xml:space="preserve">固定数据集、seed 与 K 后，用 </w:t>
      </w:r>
      <m:oMath>
        <m:r>
          <m:rPr/>
          <w:rPr>
            <w:rFonts w:ascii="Cambria Math" w:hAnsi="Cambria Math"/>
          </w:rPr>
          <m:t>P(X)</m:t>
        </m:r>
      </m:oMath>
      <w:r>
        <w:t xml:space="preserve"> 表示构造 X 的类别宏平均像素 AP。先分别报告 J、L 下的表征替换效应，再比较这两个效应，而不是比较两组是否各自显著。</w:t>
      </w:r>
    </w:p>
    <w:p w14:paraId="56F519D7">
      <w:pPr>
        <w:jc w:val="center"/>
      </w:pPr>
      <m:oMath>
        <m:sSub>
          <m:sSubPr/>
          <m:e>
            <m:r>
              <m:rPr/>
              <w:rPr>
                <w:rFonts w:ascii="Cambria Math" w:hAnsi="Cambria Math"/>
              </w:rPr>
              <m:t>E</m:t>
            </m:r>
          </m:e>
          <m:sub>
            <m:r>
              <m:rPr>
                <m:sty m:val="p"/>
              </m:rPr>
              <w:rPr>
                <w:rFonts w:ascii="Cambria Math" w:hAnsi="Cambria Math"/>
              </w:rPr>
              <m:t>TRI</m:t>
            </m:r>
            <m:r>
              <m:rPr/>
              <w:rPr>
                <w:rFonts w:ascii="Cambria Math" w:hAnsi="Cambria Math"/>
              </w:rPr>
              <m:t>,t</m:t>
            </m:r>
          </m:sub>
        </m:sSub>
        <m:r>
          <m:rPr/>
          <w:rPr>
            <w:rFonts w:ascii="Cambria Math" w:hAnsi="Cambria Math"/>
          </w:rPr>
          <m:t>=P(</m:t>
        </m:r>
        <m:sSub>
          <m:sSubPr/>
          <m:e>
            <m:r>
              <m:rPr>
                <m:sty m:val="p"/>
              </m:rPr>
              <w:rPr>
                <w:rFonts w:ascii="Cambria Math" w:hAnsi="Cambria Math"/>
              </w:rPr>
              <m:t>TRI</m:t>
            </m:r>
          </m:e>
          <m:sub>
            <m:r>
              <m:rPr/>
              <w:rPr>
                <w:rFonts w:ascii="Cambria Math" w:hAnsi="Cambria Math"/>
              </w:rPr>
              <m:t>t</m:t>
            </m:r>
          </m:sub>
        </m:sSub>
        <m:r>
          <m:rPr/>
          <w:rPr>
            <w:rFonts w:ascii="Cambria Math" w:hAnsi="Cambria Math"/>
          </w:rPr>
          <m:t>)−P(</m:t>
        </m:r>
        <m:sSub>
          <m:sSubPr/>
          <m:e>
            <m:r>
              <m:rPr>
                <m:sty m:val="p"/>
              </m:rPr>
              <w:rPr>
                <w:rFonts w:ascii="Cambria Math" w:hAnsi="Cambria Math"/>
              </w:rPr>
              <m:t>DUP</m:t>
            </m:r>
          </m:e>
          <m:sub>
            <m:r>
              <m:rPr/>
              <w:rPr>
                <w:rFonts w:ascii="Cambria Math" w:hAnsi="Cambria Math"/>
              </w:rPr>
              <m:t>t</m:t>
            </m:r>
          </m:sub>
        </m:sSub>
        <m:r>
          <m:rPr/>
          <w:rPr>
            <w:rFonts w:ascii="Cambria Math" w:hAnsi="Cambria Math"/>
          </w:rPr>
          <m:t>),    t ∈ {J,L}</m:t>
        </m:r>
      </m:oMath>
      <w:r>
        <w:t xml:space="preserve">    (4)</w:t>
      </w:r>
    </w:p>
    <w:p w14:paraId="6AB1B1B3">
      <w:pPr>
        <w:jc w:val="center"/>
      </w:pPr>
      <m:oMath>
        <m:sSub>
          <m:sSubPr/>
          <m:e>
            <m:r>
              <m:rPr/>
              <w:rPr>
                <w:rFonts w:ascii="Cambria Math" w:hAnsi="Cambria Math"/>
              </w:rPr>
              <m:t>E</m:t>
            </m:r>
          </m:e>
          <m:sub>
            <m:r>
              <m:rPr>
                <m:sty m:val="p"/>
              </m:rPr>
              <w:rPr>
                <w:rFonts w:ascii="Cambria Math" w:hAnsi="Cambria Math"/>
              </w:rPr>
              <m:t>BAL</m:t>
            </m:r>
            <m:r>
              <m:rPr/>
              <w:rPr>
                <w:rFonts w:ascii="Cambria Math" w:hAnsi="Cambria Math"/>
              </w:rPr>
              <m:t>,t</m:t>
            </m:r>
          </m:sub>
        </m:sSub>
        <m:r>
          <m:rPr/>
          <w:rPr>
            <w:rFonts w:ascii="Cambria Math" w:hAnsi="Cambria Math"/>
          </w:rPr>
          <m:t>=P(</m:t>
        </m:r>
        <m:sSub>
          <m:sSubPr/>
          <m:e>
            <m:r>
              <m:rPr>
                <m:sty m:val="p"/>
              </m:rPr>
              <w:rPr>
                <w:rFonts w:ascii="Cambria Math" w:hAnsi="Cambria Math"/>
              </w:rPr>
              <m:t>BAL</m:t>
            </m:r>
          </m:e>
          <m:sub>
            <m:r>
              <m:rPr/>
              <w:rPr>
                <w:rFonts w:ascii="Cambria Math" w:hAnsi="Cambria Math"/>
              </w:rPr>
              <m:t>t</m:t>
            </m:r>
          </m:sub>
        </m:sSub>
        <m:r>
          <m:rPr/>
          <w:rPr>
            <w:rFonts w:ascii="Cambria Math" w:hAnsi="Cambria Math"/>
          </w:rPr>
          <m:t>)−P(</m:t>
        </m:r>
        <m:sSub>
          <m:sSubPr/>
          <m:e>
            <m:r>
              <m:rPr>
                <m:sty m:val="p"/>
              </m:rPr>
              <w:rPr>
                <w:rFonts w:ascii="Cambria Math" w:hAnsi="Cambria Math"/>
              </w:rPr>
              <m:t>A1</m:t>
            </m:r>
          </m:e>
          <m:sub>
            <m:r>
              <m:rPr/>
              <w:rPr>
                <w:rFonts w:ascii="Cambria Math" w:hAnsi="Cambria Math"/>
              </w:rPr>
              <m:t>t</m:t>
            </m:r>
          </m:sub>
        </m:sSub>
        <m:r>
          <m:rPr/>
          <w:rPr>
            <w:rFonts w:ascii="Cambria Math" w:hAnsi="Cambria Math"/>
          </w:rPr>
          <m:t>)</m:t>
        </m:r>
      </m:oMath>
      <w:r>
        <w:t xml:space="preserve">    (5)</w:t>
      </w:r>
    </w:p>
    <w:p w14:paraId="62BE3568">
      <w:pPr>
        <w:jc w:val="center"/>
      </w:pPr>
      <m:oMath>
        <m:sSub>
          <m:sSubPr/>
          <m:e>
            <m:r>
              <m:rPr/>
              <w:rPr>
                <w:rFonts w:ascii="Cambria Math" w:hAnsi="Cambria Math"/>
              </w:rPr>
              <m:t>I</m:t>
            </m:r>
          </m:e>
          <m:sub>
            <m:r>
              <m:rPr>
                <m:sty m:val="p"/>
              </m:rPr>
              <w:rPr>
                <w:rFonts w:ascii="Cambria Math" w:hAnsi="Cambria Math"/>
              </w:rPr>
              <m:t>TRI</m:t>
            </m:r>
          </m:sub>
        </m:sSub>
        <m:r>
          <m:rPr/>
          <w:rPr>
            <w:rFonts w:ascii="Cambria Math" w:hAnsi="Cambria Math"/>
          </w:rPr>
          <m:t>=</m:t>
        </m:r>
        <m:sSub>
          <m:sSubPr/>
          <m:e>
            <m:r>
              <m:rPr/>
              <w:rPr>
                <w:rFonts w:ascii="Cambria Math" w:hAnsi="Cambria Math"/>
              </w:rPr>
              <m:t>E</m:t>
            </m:r>
          </m:e>
          <m:sub>
            <m:r>
              <m:rPr>
                <m:sty m:val="p"/>
              </m:rPr>
              <w:rPr>
                <w:rFonts w:ascii="Cambria Math" w:hAnsi="Cambria Math"/>
              </w:rPr>
              <m:t>TRI</m:t>
            </m:r>
            <m:r>
              <m:rPr/>
              <w:rPr>
                <w:rFonts w:ascii="Cambria Math" w:hAnsi="Cambria Math"/>
              </w:rPr>
              <m:t>,L</m:t>
            </m:r>
          </m:sub>
        </m:sSub>
        <m:r>
          <m:rPr/>
          <w:rPr>
            <w:rFonts w:ascii="Cambria Math" w:hAnsi="Cambria Math"/>
          </w:rPr>
          <m:t>−</m:t>
        </m:r>
        <m:sSub>
          <m:sSubPr/>
          <m:e>
            <m:r>
              <m:rPr/>
              <w:rPr>
                <w:rFonts w:ascii="Cambria Math" w:hAnsi="Cambria Math"/>
              </w:rPr>
              <m:t>E</m:t>
            </m:r>
          </m:e>
          <m:sub>
            <m:r>
              <m:rPr>
                <m:sty m:val="p"/>
              </m:rPr>
              <w:rPr>
                <w:rFonts w:ascii="Cambria Math" w:hAnsi="Cambria Math"/>
              </w:rPr>
              <m:t>TRI</m:t>
            </m:r>
            <m:r>
              <m:rPr/>
              <w:rPr>
                <w:rFonts w:ascii="Cambria Math" w:hAnsi="Cambria Math"/>
              </w:rPr>
              <m:t>,J</m:t>
            </m:r>
          </m:sub>
        </m:sSub>
      </m:oMath>
      <w:r>
        <w:t xml:space="preserve">    (6)</w:t>
      </w:r>
    </w:p>
    <w:p w14:paraId="0AEE0962">
      <w:pPr>
        <w:jc w:val="center"/>
      </w:pPr>
      <m:oMath>
        <m:sSub>
          <m:sSubPr/>
          <m:e>
            <m:r>
              <m:rPr/>
              <w:rPr>
                <w:rFonts w:ascii="Cambria Math" w:hAnsi="Cambria Math"/>
              </w:rPr>
              <m:t>I</m:t>
            </m:r>
          </m:e>
          <m:sub>
            <m:r>
              <m:rPr>
                <m:sty m:val="p"/>
              </m:rPr>
              <w:rPr>
                <w:rFonts w:ascii="Cambria Math" w:hAnsi="Cambria Math"/>
              </w:rPr>
              <m:t>BAL</m:t>
            </m:r>
          </m:sub>
        </m:sSub>
        <m:r>
          <m:rPr/>
          <w:rPr>
            <w:rFonts w:ascii="Cambria Math" w:hAnsi="Cambria Math"/>
          </w:rPr>
          <m:t>=</m:t>
        </m:r>
        <m:sSub>
          <m:sSubPr/>
          <m:e>
            <m:r>
              <m:rPr/>
              <w:rPr>
                <w:rFonts w:ascii="Cambria Math" w:hAnsi="Cambria Math"/>
              </w:rPr>
              <m:t>E</m:t>
            </m:r>
          </m:e>
          <m:sub>
            <m:r>
              <m:rPr>
                <m:sty m:val="p"/>
              </m:rPr>
              <w:rPr>
                <w:rFonts w:ascii="Cambria Math" w:hAnsi="Cambria Math"/>
              </w:rPr>
              <m:t>BAL</m:t>
            </m:r>
            <m:r>
              <m:rPr/>
              <w:rPr>
                <w:rFonts w:ascii="Cambria Math" w:hAnsi="Cambria Math"/>
              </w:rPr>
              <m:t>,L</m:t>
            </m:r>
          </m:sub>
        </m:sSub>
        <m:r>
          <m:rPr/>
          <w:rPr>
            <w:rFonts w:ascii="Cambria Math" w:hAnsi="Cambria Math"/>
          </w:rPr>
          <m:t>−</m:t>
        </m:r>
        <m:sSub>
          <m:sSubPr/>
          <m:e>
            <m:r>
              <m:rPr/>
              <w:rPr>
                <w:rFonts w:ascii="Cambria Math" w:hAnsi="Cambria Math"/>
              </w:rPr>
              <m:t>E</m:t>
            </m:r>
          </m:e>
          <m:sub>
            <m:r>
              <m:rPr>
                <m:sty m:val="p"/>
              </m:rPr>
              <w:rPr>
                <w:rFonts w:ascii="Cambria Math" w:hAnsi="Cambria Math"/>
              </w:rPr>
              <m:t>BAL</m:t>
            </m:r>
            <m:r>
              <m:rPr/>
              <w:rPr>
                <w:rFonts w:ascii="Cambria Math" w:hAnsi="Cambria Math"/>
              </w:rPr>
              <m:t>,J</m:t>
            </m:r>
          </m:sub>
        </m:sSub>
      </m:oMath>
      <w:r>
        <w:t xml:space="preserve">    (7)</w:t>
      </w:r>
    </w:p>
    <w:p w14:paraId="3FDEECAF">
      <w:r>
        <w:t>正交互表示独立匹配下替换收益更大或损失更小，不必然表示新增分支已经带来正收益。若要使用“独立匹配释放了新增表征的收益”，必须同时满足相应 E 在独立匹配下为正且交互证据支持该表述。</w:t>
      </w:r>
    </w:p>
    <w:p w14:paraId="3F09974E">
      <w:r>
        <w:t>采用共享测试图像的配对重采样，在每次复制内计算完整差值并聚合固定条件，再获得区间。不得相减四个区间端点，也不能由“一组显著、一组不显著”推断两组显著不同。研究假说来自已观察的数据，因此当前交互分析保持探索性身份。</w:t>
      </w:r>
    </w:p>
    <w:p w14:paraId="2BF8A078">
      <w:pPr>
        <w:pStyle w:val="4"/>
      </w:pPr>
      <w:r>
        <w:t>3.6 正常记忆与输出恢复及复杂度</w:t>
      </w:r>
    </w:p>
    <w:p w14:paraId="3D97ACC1">
      <w:r>
        <w:t>明确正常库的建立、固定、参考行映射和查询过程。输出恢复需遵循实际 resize/crop、网格和评价画布，先说明坐标关系，再说明插值和平滑，不能把所有图像概括为统一的方形 448×448。</w:t>
      </w:r>
    </w:p>
    <w:p w14:paraId="5290B195">
      <w:r>
        <w:t xml:space="preserve">设候选参考行数为 N，各分支特征维度为 </w:t>
      </w:r>
      <m:oMath>
        <m:sSub>
          <m:sSubPr/>
          <m:e>
            <m:r>
              <m:rPr/>
              <w:rPr>
                <w:rFonts w:ascii="Cambria Math" w:hAnsi="Cambria Math"/>
              </w:rPr>
              <m:t>D</m:t>
            </m:r>
          </m:e>
          <m:sub>
            <m:r>
              <m:rPr/>
              <w:rPr>
                <w:rFonts w:ascii="Cambria Math" w:hAnsi="Cambria Math"/>
              </w:rPr>
              <m:t>b</m:t>
            </m:r>
          </m:sub>
        </m:sSub>
      </m:oMath>
      <w:r>
        <w:t>，查询 patch 数为 Q。精确遍历时，两类匹配的距离计算都与查询 patch 数、参考行数及分支维度总和三者的乘积同阶，但 J 需要同一候选上的跨分支聚合，L 需要分别保留最优参考。实际时间、索引空间和峰值驻留内存由实现决定，应实测；不从同阶复杂度直接断言二者耗时相同。</w:t>
      </w:r>
    </w:p>
    <w:p w14:paraId="2980EAE3">
      <w:pPr>
        <w:pStyle w:val="4"/>
      </w:pPr>
      <w:r>
        <w:t>3.7 模型配置与复现参数</w:t>
      </w:r>
    </w:p>
    <w:p w14:paraId="0F2BFE21">
      <w:r>
        <w:t>沿用原稿配置表，记录骨干、权重来源、层、原生输出维度、输入几何变换、共同网格、归一化、检索、平滑参数及设备。B/S/C 的维度和总融合维度按新实现填写，不能沿用“所有分支均 768 维、融合均为 1536 维”的旧双支描述。</w:t>
      </w:r>
    </w:p>
    <w:p w14:paraId="49F3F835">
      <w:r>
        <w:t>目标域训练参数为零；学习率、训练优化器和 epoch 标为不适用。记忆库构建、编码与检索仍有成本。任何未来的 CNN 分支只能在执行和验收后进入该表，当前留作附录中的验证计划。</w:t>
      </w:r>
    </w:p>
    <w:p w14:paraId="1B113721">
      <w:pPr>
        <w:pStyle w:val="3"/>
      </w:pPr>
      <w:r>
        <w:t>4 实验评估 Experimental Evaluations</w:t>
      </w:r>
    </w:p>
    <w:p w14:paraId="2408F897">
      <w:pPr>
        <w:pStyle w:val="4"/>
      </w:pPr>
      <w:r>
        <w:t>4.1 实验设计 Experimental Design</w:t>
      </w:r>
    </w:p>
    <w:p w14:paraId="2C38AB2A">
      <w:pPr>
        <w:pStyle w:val="5"/>
      </w:pPr>
      <w:r>
        <w:t>4.1.1 数据集与正常参考协议</w:t>
      </w:r>
    </w:p>
    <w:p w14:paraId="752A8FC9">
      <w:r>
        <w:t>主研究包括 MPDD 六类与 BTAD 三类。MPDD 使用正常参考抽样 seed 0、1、2；BTAD 使用 seed 0、1。两者均考察 K=1、2、4、8，较大 K 保留较小 K 的全部参考图，形成嵌套支持集。</w:t>
      </w:r>
    </w:p>
    <w:p w14:paraId="5E0CFA46">
      <w:r>
        <w:t>MPDD 为开发数据；BTAD 是历史上已接触的数据集上的冻结复核，不能称为首次未见数据验证。旧稿 MVTec、VisA 结果只作为历史材料，不并入新主题主表。96 个类别×seed×K 单元和 20 个数据集×seed×K 条件不是 96 次或 20 次独立重复。</w:t>
      </w:r>
    </w:p>
    <w:p w14:paraId="42FF8D58">
      <w:pPr>
        <w:pStyle w:val="5"/>
      </w:pPr>
      <w:r>
        <w:t>4.1.2 对照方法与模块消融</w:t>
      </w:r>
    </w:p>
    <w:p w14:paraId="623A4BC1">
      <w:r>
        <w:t>先列三种比较层次。第一层为 B/S/C 单支和 A1/DUP/TRI/BAL 的 J/L 共 11 个核心构造，用于研究因素；第二层为原生 AnomalyDINO、PatchCore 及经核验的近期方法，用于说明实际竞争力；第三层为真正删除或替换某一模块的消融，用于支撑独立模块主张。</w:t>
      </w:r>
    </w:p>
    <w:p w14:paraId="3E9BD69D">
      <w:r>
        <w:t>按照老师要求，matched DINO-only 等既有单支基线不直接改名为模块消融。J/L、复制与表征替换在本论文中明确称为受控因素比较。若对归一化、空间对齐或 DPAM 单独声称创新和收益，应补相应模块消融；本提纲不把它们列为已经证明的新模块。</w:t>
      </w:r>
    </w:p>
    <w:p w14:paraId="74ECF51D">
      <w:r>
        <w:t>既有 R1 MAP_mean 是独立检索再合并的历史证据，与新 J/L 主题有连续性；放在补充材料说明方法来源和协议演进，不能与新矩阵混合统计，也不为制造工作量重复运行。</w:t>
      </w:r>
    </w:p>
    <w:p w14:paraId="4B8A005C">
      <w:pPr>
        <w:pStyle w:val="5"/>
      </w:pPr>
      <w:r>
        <w:t>4.1.3 指标与统计推断</w:t>
      </w:r>
    </w:p>
    <w:p w14:paraId="69F3F1A5">
      <w:r>
        <w:t>主要指标为类别宏平均像素 AP，辅助报告像素 AUROC 及已经可靠产出的图像级 AP/AUROC。AP 的差异写为百分点，不统称 accuracy。像素 F1 等依赖阈值的指标只在阈值协议完整时使用，不因旧稿曾列六指标就补造缺失项。</w:t>
      </w:r>
    </w:p>
    <w:p w14:paraId="6A3FB07C">
      <w:r>
        <w:t>正式性能以全像素点估计为主；当前 stride8 配对区间单独标注。重采样单位是测试图像，方法间使用同一复制；跨类别和条件的聚合顺序明确。原始点差与 bootstrap 均值分列，不能平均区间端点。</w:t>
      </w:r>
    </w:p>
    <w:p w14:paraId="603366F2">
      <w:r>
        <w:t>直接交互计划同时报告探索性 95% 区间及四个汇总交互组成的比较家族所对应的 98.75% Bonferroni 近似区间。原匹配效应的 97.5% 区间属于另一组预定比较，二者不混称。1000 次复制的尾部精度有限，边界结果需如实描述。0.5 个 AP 百分点仅作为本项目既定实用参考尺度，不当作工业通用标准。</w:t>
      </w:r>
    </w:p>
    <w:p w14:paraId="7BA1BF34">
      <w:pPr>
        <w:pStyle w:val="5"/>
      </w:pPr>
      <w:r>
        <w:t>4.1.4 实现与计算环境</w:t>
      </w:r>
    </w:p>
    <w:p w14:paraId="17D5F819">
      <w:r>
        <w:t>完整记录软硬件、精度、输入尺寸、batch size、编码器冻结模式、支持清单和代码版本。以同一设备测量编码、建库、查询与后处理，CUDA 计时同步，报告预热和重复次数。显存、主存和磁盘缓存分开，阶段耗时之和不冒充端到端实测。</w:t>
      </w:r>
    </w:p>
    <w:p w14:paraId="2A0E62E1">
      <w:pPr>
        <w:pStyle w:val="5"/>
      </w:pPr>
      <w:r>
        <w:t>4.1.5 几何与评价一致性</w:t>
      </w:r>
    </w:p>
    <w:p w14:paraId="4C9CAA9B">
      <w:r>
        <w:t>BTAD03 的 B/S 实际变换包含按比例缩放及裁剪；旧掩码直接缩放到画布与该变换不一致。最新目录已经生成忠实 GT 和坐标审计，但相关主统计尚须按统一版本完成。正文只使用同一坐标和掩码版本的点估计与区间，旧版本留作敏感性材料。</w:t>
      </w:r>
    </w:p>
    <w:p w14:paraId="6CF8BE56">
      <w:r>
        <w:t>本小节解释为何评价可以比较；路径、哈希和逐图变换清单放附录，避免将工程日志写成科学贡献。</w:t>
      </w:r>
    </w:p>
    <w:p w14:paraId="6ED506AE">
      <w:pPr>
        <w:pStyle w:val="4"/>
      </w:pPr>
      <w:r>
        <w:t>4.2 结果与分析 Results and Analysis</w:t>
      </w:r>
    </w:p>
    <w:p w14:paraId="4975C3B1">
      <w:r>
        <w:t>每节采用“问题—对照—实际结果—解释与边界”的顺序。下面是结果段的写作安排，当前数字只用于老师判断证据量级，正式数字随坐标、评价和推断版本统一后冻结。</w:t>
      </w:r>
    </w:p>
    <w:p w14:paraId="00CBDA79">
      <w:pPr>
        <w:pStyle w:val="5"/>
      </w:pPr>
      <w:r>
        <w:t>4.2.1 总体性能与正常参考匹配效应</w:t>
      </w:r>
    </w:p>
    <w:p w14:paraId="635F66A4">
      <w:r>
        <w:t>先展示单支、双支与三支总体指标，再将相同构造下 L−J 作为主要比较。当前旧评价版本中，A1 的全像素宏 AP 差在 MPDD 约为 +0.676 个百分点、BTAD 约为 +0.827 个百分点；全像素没有相应区间，不写成已证明显著。BTAD 数字须随几何版本重新核验。</w:t>
      </w:r>
    </w:p>
    <w:p w14:paraId="7FEA9ECD">
      <w:r>
        <w:t>这一节建立“匹配规则值得研究”的事实基础，不用 A1 的平均效应直接替代第三分支的交互结果，也不声称所有类别均改善。</w:t>
      </w:r>
    </w:p>
    <w:p w14:paraId="07A3609C">
      <w:pPr>
        <w:pStyle w:val="5"/>
      </w:pPr>
      <w:r>
        <w:t>4.2.2 复制分支所揭示的权重混淆</w:t>
      </w:r>
    </w:p>
    <w:p w14:paraId="63E2BB98">
      <w:r>
        <w:t>比较 DUP 与 A1，解释 B 的总权重由 1/2 变为 2/3。当前 stride8 共同匹配下的平均差约为 MPDD −0.802、BTAD −0.959 个百分点，说明本组合中该权重变化可能造成损失。报告 J 和 L 两种规则的完整结果，不只选一条有利曲线。</w:t>
      </w:r>
    </w:p>
    <w:p w14:paraId="0D1C1DBB">
      <w:r>
        <w:t>结论限定为“分支数量变化可能夹带有效权重变化”，不推断均匀双支权重全局最优，也不推断复制任何分支都会变差。</w:t>
      </w:r>
    </w:p>
    <w:p w14:paraId="7AD698E8">
      <w:pPr>
        <w:pStyle w:val="5"/>
      </w:pPr>
      <w:r>
        <w:t>4.2.3 新增表征本身的条件性收益</w:t>
      </w:r>
    </w:p>
    <w:p w14:paraId="44133504">
      <w:r>
        <w:t>比较 TRI−DUP 和 BAL−A1，分别报告 J 与 L。当前旧评价版本的 stride8 汇总点差如下；9 月 14 日收口包已修正成对效应的汇总区间，不再沿用简明提纲中“该汇总尚未修正”的旧状态。</w:t>
      </w:r>
    </w:p>
    <w:tbl>
      <w:tblPr>
        <w:tblStyle w:val="32"/>
        <w:tblW w:w="0" w:type="auto"/>
        <w:tblInd w:w="0" w:type="dxa"/>
        <w:tblLayout w:type="fixed"/>
        <w:tblCellMar>
          <w:top w:w="0" w:type="dxa"/>
          <w:left w:w="108" w:type="dxa"/>
          <w:bottom w:w="0" w:type="dxa"/>
          <w:right w:w="108" w:type="dxa"/>
        </w:tblCellMar>
      </w:tblPr>
      <w:tblGrid>
        <w:gridCol w:w="3685"/>
        <w:gridCol w:w="2976"/>
        <w:gridCol w:w="2976"/>
      </w:tblGrid>
      <w:tr w14:paraId="673F6796">
        <w:tblPrEx>
          <w:tblCellMar>
            <w:top w:w="0" w:type="dxa"/>
            <w:left w:w="108" w:type="dxa"/>
            <w:bottom w:w="0" w:type="dxa"/>
            <w:right w:w="108" w:type="dxa"/>
          </w:tblCellMar>
        </w:tblPrEx>
        <w:trPr>
          <w:cantSplit/>
          <w:tblHeader/>
        </w:trPr>
        <w:tc>
          <w:tcPr>
            <w:tcW w:w="3685" w:type="dxa"/>
            <w:tcBorders>
              <w:top w:val="single" w:color="000000" w:sz="8" w:space="0"/>
              <w:left w:val="nil"/>
              <w:bottom w:val="single" w:color="000000" w:sz="8" w:space="0"/>
              <w:right w:val="nil"/>
            </w:tcBorders>
            <w:tcMar>
              <w:top w:w="90" w:type="dxa"/>
              <w:left w:w="90" w:type="dxa"/>
              <w:bottom w:w="90" w:type="dxa"/>
              <w:right w:w="90" w:type="dxa"/>
            </w:tcMar>
          </w:tcPr>
          <w:p w14:paraId="01032DAE">
            <w:pPr>
              <w:spacing w:before="40" w:after="40" w:line="252" w:lineRule="auto"/>
            </w:pPr>
            <w:r>
              <w:rPr>
                <w:b/>
                <w:sz w:val="21"/>
              </w:rPr>
              <w:t>表征替换对照</w:t>
            </w:r>
          </w:p>
        </w:tc>
        <w:tc>
          <w:tcPr>
            <w:tcW w:w="2976" w:type="dxa"/>
            <w:tcBorders>
              <w:top w:val="single" w:color="000000" w:sz="8" w:space="0"/>
              <w:left w:val="nil"/>
              <w:bottom w:val="single" w:color="000000" w:sz="8" w:space="0"/>
              <w:right w:val="nil"/>
            </w:tcBorders>
            <w:tcMar>
              <w:top w:w="90" w:type="dxa"/>
              <w:left w:w="90" w:type="dxa"/>
              <w:bottom w:w="90" w:type="dxa"/>
              <w:right w:w="90" w:type="dxa"/>
            </w:tcMar>
          </w:tcPr>
          <w:p w14:paraId="1242B685">
            <w:pPr>
              <w:spacing w:before="40" w:after="40" w:line="252" w:lineRule="auto"/>
            </w:pPr>
            <w:r>
              <w:rPr>
                <w:b/>
                <w:sz w:val="21"/>
              </w:rPr>
              <w:t>MPDD AP 百分点</w:t>
            </w:r>
          </w:p>
        </w:tc>
        <w:tc>
          <w:tcPr>
            <w:tcW w:w="2976" w:type="dxa"/>
            <w:tcBorders>
              <w:top w:val="single" w:color="000000" w:sz="8" w:space="0"/>
              <w:left w:val="nil"/>
              <w:bottom w:val="single" w:color="000000" w:sz="8" w:space="0"/>
              <w:right w:val="nil"/>
            </w:tcBorders>
            <w:tcMar>
              <w:top w:w="90" w:type="dxa"/>
              <w:left w:w="90" w:type="dxa"/>
              <w:bottom w:w="90" w:type="dxa"/>
              <w:right w:w="90" w:type="dxa"/>
            </w:tcMar>
          </w:tcPr>
          <w:p w14:paraId="135E9C86">
            <w:pPr>
              <w:spacing w:before="40" w:after="40" w:line="252" w:lineRule="auto"/>
            </w:pPr>
            <w:r>
              <w:rPr>
                <w:b/>
                <w:sz w:val="21"/>
              </w:rPr>
              <w:t>BTAD AP 百分点</w:t>
            </w:r>
          </w:p>
        </w:tc>
      </w:tr>
      <w:tr w14:paraId="16C59D65">
        <w:tblPrEx>
          <w:tblCellMar>
            <w:top w:w="0" w:type="dxa"/>
            <w:left w:w="108" w:type="dxa"/>
            <w:bottom w:w="0" w:type="dxa"/>
            <w:right w:w="108" w:type="dxa"/>
          </w:tblCellMar>
        </w:tblPrEx>
        <w:trPr>
          <w:cantSplit/>
        </w:trPr>
        <w:tc>
          <w:tcPr>
            <w:tcW w:w="3685" w:type="dxa"/>
            <w:tcBorders>
              <w:top w:val="nil"/>
              <w:left w:val="nil"/>
              <w:bottom w:val="nil"/>
              <w:right w:val="nil"/>
            </w:tcBorders>
            <w:tcMar>
              <w:top w:w="90" w:type="dxa"/>
              <w:left w:w="90" w:type="dxa"/>
              <w:bottom w:w="90" w:type="dxa"/>
              <w:right w:w="90" w:type="dxa"/>
            </w:tcMar>
          </w:tcPr>
          <w:p w14:paraId="5904B361">
            <w:pPr>
              <w:spacing w:before="40" w:after="40" w:line="252" w:lineRule="auto"/>
            </w:pPr>
            <m:oMath>
              <m:sSub>
                <m:sSubPr/>
                <m:e>
                  <m:r>
                    <m:rPr>
                      <m:sty m:val="p"/>
                    </m:rPr>
                    <w:rPr>
                      <w:rFonts w:ascii="Cambria Math" w:hAnsi="Cambria Math"/>
                    </w:rPr>
                    <m:t>TRI</m:t>
                  </m:r>
                </m:e>
                <m:sub>
                  <m:r>
                    <m:rPr>
                      <m:sty m:val="p"/>
                    </m:rPr>
                    <w:rPr>
                      <w:rFonts w:ascii="Cambria Math" w:hAnsi="Cambria Math"/>
                    </w:rPr>
                    <m:t>J</m:t>
                  </m:r>
                </m:sub>
              </m:sSub>
            </m:oMath>
            <w:r>
              <w:rPr>
                <w:b w:val="0"/>
                <w:sz w:val="21"/>
              </w:rPr>
              <w:t xml:space="preserve"> 相对 </w:t>
            </w:r>
            <m:oMath>
              <m:sSub>
                <m:sSubPr/>
                <m:e>
                  <m:r>
                    <m:rPr>
                      <m:sty m:val="p"/>
                    </m:rPr>
                    <w:rPr>
                      <w:rFonts w:ascii="Cambria Math" w:hAnsi="Cambria Math"/>
                    </w:rPr>
                    <m:t>DUP</m:t>
                  </m:r>
                </m:e>
                <m:sub>
                  <m:r>
                    <m:rPr>
                      <m:sty m:val="p"/>
                    </m:rPr>
                    <w:rPr>
                      <w:rFonts w:ascii="Cambria Math" w:hAnsi="Cambria Math"/>
                    </w:rPr>
                    <m:t>J</m:t>
                  </m:r>
                </m:sub>
              </m:sSub>
            </m:oMath>
          </w:p>
        </w:tc>
        <w:tc>
          <w:tcPr>
            <w:tcW w:w="2976" w:type="dxa"/>
            <w:tcBorders>
              <w:top w:val="nil"/>
              <w:left w:val="nil"/>
              <w:bottom w:val="nil"/>
              <w:right w:val="nil"/>
            </w:tcBorders>
            <w:tcMar>
              <w:top w:w="90" w:type="dxa"/>
              <w:left w:w="90" w:type="dxa"/>
              <w:bottom w:w="90" w:type="dxa"/>
              <w:right w:w="90" w:type="dxa"/>
            </w:tcMar>
          </w:tcPr>
          <w:p w14:paraId="6F54B626">
            <w:pPr>
              <w:spacing w:before="40" w:after="40" w:line="252" w:lineRule="auto"/>
            </w:pPr>
            <w:r>
              <w:rPr>
                <w:b w:val="0"/>
                <w:sz w:val="21"/>
              </w:rPr>
              <w:t>−0.224</w:t>
            </w:r>
          </w:p>
        </w:tc>
        <w:tc>
          <w:tcPr>
            <w:tcW w:w="2976" w:type="dxa"/>
            <w:tcBorders>
              <w:top w:val="nil"/>
              <w:left w:val="nil"/>
              <w:bottom w:val="nil"/>
              <w:right w:val="nil"/>
            </w:tcBorders>
            <w:tcMar>
              <w:top w:w="90" w:type="dxa"/>
              <w:left w:w="90" w:type="dxa"/>
              <w:bottom w:w="90" w:type="dxa"/>
              <w:right w:w="90" w:type="dxa"/>
            </w:tcMar>
          </w:tcPr>
          <w:p w14:paraId="7E1D93A1">
            <w:pPr>
              <w:spacing w:before="40" w:after="40" w:line="252" w:lineRule="auto"/>
            </w:pPr>
            <w:r>
              <w:rPr>
                <w:b w:val="0"/>
                <w:sz w:val="21"/>
              </w:rPr>
              <w:t>+1.535</w:t>
            </w:r>
          </w:p>
        </w:tc>
      </w:tr>
      <w:tr w14:paraId="29641743">
        <w:tblPrEx>
          <w:tblCellMar>
            <w:top w:w="0" w:type="dxa"/>
            <w:left w:w="108" w:type="dxa"/>
            <w:bottom w:w="0" w:type="dxa"/>
            <w:right w:w="108" w:type="dxa"/>
          </w:tblCellMar>
        </w:tblPrEx>
        <w:trPr>
          <w:cantSplit/>
        </w:trPr>
        <w:tc>
          <w:tcPr>
            <w:tcW w:w="3685" w:type="dxa"/>
            <w:tcBorders>
              <w:top w:val="nil"/>
              <w:left w:val="nil"/>
              <w:bottom w:val="nil"/>
              <w:right w:val="nil"/>
            </w:tcBorders>
            <w:tcMar>
              <w:top w:w="90" w:type="dxa"/>
              <w:left w:w="90" w:type="dxa"/>
              <w:bottom w:w="90" w:type="dxa"/>
              <w:right w:w="90" w:type="dxa"/>
            </w:tcMar>
          </w:tcPr>
          <w:p w14:paraId="09A51034">
            <w:pPr>
              <w:spacing w:before="40" w:after="40" w:line="252" w:lineRule="auto"/>
            </w:pPr>
            <m:oMath>
              <m:sSub>
                <m:sSubPr/>
                <m:e>
                  <m:r>
                    <m:rPr>
                      <m:sty m:val="p"/>
                    </m:rPr>
                    <w:rPr>
                      <w:rFonts w:ascii="Cambria Math" w:hAnsi="Cambria Math"/>
                    </w:rPr>
                    <m:t>TRI</m:t>
                  </m:r>
                </m:e>
                <m:sub>
                  <m:r>
                    <m:rPr>
                      <m:sty m:val="p"/>
                    </m:rPr>
                    <w:rPr>
                      <w:rFonts w:ascii="Cambria Math" w:hAnsi="Cambria Math"/>
                    </w:rPr>
                    <m:t>L</m:t>
                  </m:r>
                </m:sub>
              </m:sSub>
            </m:oMath>
            <w:r>
              <w:rPr>
                <w:b w:val="0"/>
                <w:sz w:val="21"/>
              </w:rPr>
              <w:t xml:space="preserve"> 相对 </w:t>
            </w:r>
            <m:oMath>
              <m:sSub>
                <m:sSubPr/>
                <m:e>
                  <m:r>
                    <m:rPr>
                      <m:sty m:val="p"/>
                    </m:rPr>
                    <w:rPr>
                      <w:rFonts w:ascii="Cambria Math" w:hAnsi="Cambria Math"/>
                    </w:rPr>
                    <m:t>DUP</m:t>
                  </m:r>
                </m:e>
                <m:sub>
                  <m:r>
                    <m:rPr>
                      <m:sty m:val="p"/>
                    </m:rPr>
                    <w:rPr>
                      <w:rFonts w:ascii="Cambria Math" w:hAnsi="Cambria Math"/>
                    </w:rPr>
                    <m:t>L</m:t>
                  </m:r>
                </m:sub>
              </m:sSub>
            </m:oMath>
          </w:p>
        </w:tc>
        <w:tc>
          <w:tcPr>
            <w:tcW w:w="2976" w:type="dxa"/>
            <w:tcBorders>
              <w:top w:val="nil"/>
              <w:left w:val="nil"/>
              <w:bottom w:val="nil"/>
              <w:right w:val="nil"/>
            </w:tcBorders>
            <w:tcMar>
              <w:top w:w="90" w:type="dxa"/>
              <w:left w:w="90" w:type="dxa"/>
              <w:bottom w:w="90" w:type="dxa"/>
              <w:right w:w="90" w:type="dxa"/>
            </w:tcMar>
          </w:tcPr>
          <w:p w14:paraId="437F6A7A">
            <w:pPr>
              <w:spacing w:before="40" w:after="40" w:line="252" w:lineRule="auto"/>
            </w:pPr>
            <w:r>
              <w:rPr>
                <w:b w:val="0"/>
                <w:sz w:val="21"/>
              </w:rPr>
              <w:t>+0.548</w:t>
            </w:r>
          </w:p>
        </w:tc>
        <w:tc>
          <w:tcPr>
            <w:tcW w:w="2976" w:type="dxa"/>
            <w:tcBorders>
              <w:top w:val="nil"/>
              <w:left w:val="nil"/>
              <w:bottom w:val="nil"/>
              <w:right w:val="nil"/>
            </w:tcBorders>
            <w:tcMar>
              <w:top w:w="90" w:type="dxa"/>
              <w:left w:w="90" w:type="dxa"/>
              <w:bottom w:w="90" w:type="dxa"/>
              <w:right w:w="90" w:type="dxa"/>
            </w:tcMar>
          </w:tcPr>
          <w:p w14:paraId="6C45F47C">
            <w:pPr>
              <w:spacing w:before="40" w:after="40" w:line="252" w:lineRule="auto"/>
            </w:pPr>
            <w:r>
              <w:rPr>
                <w:b w:val="0"/>
                <w:sz w:val="21"/>
              </w:rPr>
              <w:t>+1.487</w:t>
            </w:r>
          </w:p>
        </w:tc>
      </w:tr>
      <w:tr w14:paraId="57288E60">
        <w:tblPrEx>
          <w:tblCellMar>
            <w:top w:w="0" w:type="dxa"/>
            <w:left w:w="108" w:type="dxa"/>
            <w:bottom w:w="0" w:type="dxa"/>
            <w:right w:w="108" w:type="dxa"/>
          </w:tblCellMar>
        </w:tblPrEx>
        <w:trPr>
          <w:cantSplit/>
        </w:trPr>
        <w:tc>
          <w:tcPr>
            <w:tcW w:w="3685" w:type="dxa"/>
            <w:tcBorders>
              <w:top w:val="nil"/>
              <w:left w:val="nil"/>
              <w:bottom w:val="nil"/>
              <w:right w:val="nil"/>
            </w:tcBorders>
            <w:tcMar>
              <w:top w:w="90" w:type="dxa"/>
              <w:left w:w="90" w:type="dxa"/>
              <w:bottom w:w="90" w:type="dxa"/>
              <w:right w:w="90" w:type="dxa"/>
            </w:tcMar>
          </w:tcPr>
          <w:p w14:paraId="55C25A00">
            <w:pPr>
              <w:spacing w:before="40" w:after="40" w:line="252" w:lineRule="auto"/>
            </w:pPr>
            <m:oMath>
              <m:sSub>
                <m:sSubPr/>
                <m:e>
                  <m:r>
                    <m:rPr>
                      <m:sty m:val="p"/>
                    </m:rPr>
                    <w:rPr>
                      <w:rFonts w:ascii="Cambria Math" w:hAnsi="Cambria Math"/>
                    </w:rPr>
                    <m:t>BAL</m:t>
                  </m:r>
                </m:e>
                <m:sub>
                  <m:r>
                    <m:rPr>
                      <m:sty m:val="p"/>
                    </m:rPr>
                    <w:rPr>
                      <w:rFonts w:ascii="Cambria Math" w:hAnsi="Cambria Math"/>
                    </w:rPr>
                    <m:t>J</m:t>
                  </m:r>
                </m:sub>
              </m:sSub>
            </m:oMath>
            <w:r>
              <w:rPr>
                <w:b w:val="0"/>
                <w:sz w:val="21"/>
              </w:rPr>
              <w:t xml:space="preserve"> 相对 </w:t>
            </w:r>
            <m:oMath>
              <m:sSub>
                <m:sSubPr/>
                <m:e>
                  <m:r>
                    <m:rPr>
                      <m:sty m:val="p"/>
                    </m:rPr>
                    <w:rPr>
                      <w:rFonts w:ascii="Cambria Math" w:hAnsi="Cambria Math"/>
                    </w:rPr>
                    <m:t>A1</m:t>
                  </m:r>
                </m:e>
                <m:sub>
                  <m:r>
                    <m:rPr>
                      <m:sty m:val="p"/>
                    </m:rPr>
                    <w:rPr>
                      <w:rFonts w:ascii="Cambria Math" w:hAnsi="Cambria Math"/>
                    </w:rPr>
                    <m:t>J</m:t>
                  </m:r>
                </m:sub>
              </m:sSub>
            </m:oMath>
          </w:p>
        </w:tc>
        <w:tc>
          <w:tcPr>
            <w:tcW w:w="2976" w:type="dxa"/>
            <w:tcBorders>
              <w:top w:val="nil"/>
              <w:left w:val="nil"/>
              <w:bottom w:val="nil"/>
              <w:right w:val="nil"/>
            </w:tcBorders>
            <w:tcMar>
              <w:top w:w="90" w:type="dxa"/>
              <w:left w:w="90" w:type="dxa"/>
              <w:bottom w:w="90" w:type="dxa"/>
              <w:right w:w="90" w:type="dxa"/>
            </w:tcMar>
          </w:tcPr>
          <w:p w14:paraId="13F6D6B2">
            <w:pPr>
              <w:spacing w:before="40" w:after="40" w:line="252" w:lineRule="auto"/>
            </w:pPr>
            <w:r>
              <w:rPr>
                <w:b w:val="0"/>
                <w:sz w:val="21"/>
              </w:rPr>
              <w:t>−0.510</w:t>
            </w:r>
          </w:p>
        </w:tc>
        <w:tc>
          <w:tcPr>
            <w:tcW w:w="2976" w:type="dxa"/>
            <w:tcBorders>
              <w:top w:val="nil"/>
              <w:left w:val="nil"/>
              <w:bottom w:val="nil"/>
              <w:right w:val="nil"/>
            </w:tcBorders>
            <w:tcMar>
              <w:top w:w="90" w:type="dxa"/>
              <w:left w:w="90" w:type="dxa"/>
              <w:bottom w:w="90" w:type="dxa"/>
              <w:right w:w="90" w:type="dxa"/>
            </w:tcMar>
          </w:tcPr>
          <w:p w14:paraId="51E99E52">
            <w:pPr>
              <w:spacing w:before="40" w:after="40" w:line="252" w:lineRule="auto"/>
            </w:pPr>
            <w:r>
              <w:rPr>
                <w:b w:val="0"/>
                <w:sz w:val="21"/>
              </w:rPr>
              <w:t>+0.962</w:t>
            </w:r>
          </w:p>
        </w:tc>
      </w:tr>
      <w:tr w14:paraId="32413C54">
        <w:tblPrEx>
          <w:tblCellMar>
            <w:top w:w="0" w:type="dxa"/>
            <w:left w:w="108" w:type="dxa"/>
            <w:bottom w:w="0" w:type="dxa"/>
            <w:right w:w="108" w:type="dxa"/>
          </w:tblCellMar>
        </w:tblPrEx>
        <w:trPr>
          <w:cantSplit/>
        </w:trPr>
        <w:tc>
          <w:tcPr>
            <w:tcW w:w="3685" w:type="dxa"/>
            <w:tcBorders>
              <w:top w:val="nil"/>
              <w:left w:val="nil"/>
              <w:bottom w:val="single" w:color="000000" w:sz="8" w:space="0"/>
              <w:right w:val="nil"/>
            </w:tcBorders>
            <w:tcMar>
              <w:top w:w="90" w:type="dxa"/>
              <w:left w:w="90" w:type="dxa"/>
              <w:bottom w:w="90" w:type="dxa"/>
              <w:right w:w="90" w:type="dxa"/>
            </w:tcMar>
          </w:tcPr>
          <w:p w14:paraId="269EAC20">
            <w:pPr>
              <w:spacing w:before="40" w:after="40" w:line="252" w:lineRule="auto"/>
            </w:pPr>
            <m:oMath>
              <m:sSub>
                <m:sSubPr/>
                <m:e>
                  <m:r>
                    <m:rPr>
                      <m:sty m:val="p"/>
                    </m:rPr>
                    <w:rPr>
                      <w:rFonts w:ascii="Cambria Math" w:hAnsi="Cambria Math"/>
                    </w:rPr>
                    <m:t>BAL</m:t>
                  </m:r>
                </m:e>
                <m:sub>
                  <m:r>
                    <m:rPr>
                      <m:sty m:val="p"/>
                    </m:rPr>
                    <w:rPr>
                      <w:rFonts w:ascii="Cambria Math" w:hAnsi="Cambria Math"/>
                    </w:rPr>
                    <m:t>L</m:t>
                  </m:r>
                </m:sub>
              </m:sSub>
            </m:oMath>
            <w:r>
              <w:rPr>
                <w:b w:val="0"/>
                <w:sz w:val="21"/>
              </w:rPr>
              <w:t xml:space="preserve"> 相对 </w:t>
            </w:r>
            <m:oMath>
              <m:sSub>
                <m:sSubPr/>
                <m:e>
                  <m:r>
                    <m:rPr>
                      <m:sty m:val="p"/>
                    </m:rPr>
                    <w:rPr>
                      <w:rFonts w:ascii="Cambria Math" w:hAnsi="Cambria Math"/>
                    </w:rPr>
                    <m:t>A1</m:t>
                  </m:r>
                </m:e>
                <m:sub>
                  <m:r>
                    <m:rPr>
                      <m:sty m:val="p"/>
                    </m:rPr>
                    <w:rPr>
                      <w:rFonts w:ascii="Cambria Math" w:hAnsi="Cambria Math"/>
                    </w:rPr>
                    <m:t>L</m:t>
                  </m:r>
                </m:sub>
              </m:sSub>
            </m:oMath>
          </w:p>
        </w:tc>
        <w:tc>
          <w:tcPr>
            <w:tcW w:w="2976" w:type="dxa"/>
            <w:tcBorders>
              <w:top w:val="nil"/>
              <w:left w:val="nil"/>
              <w:bottom w:val="single" w:color="000000" w:sz="8" w:space="0"/>
              <w:right w:val="nil"/>
            </w:tcBorders>
            <w:tcMar>
              <w:top w:w="90" w:type="dxa"/>
              <w:left w:w="90" w:type="dxa"/>
              <w:bottom w:w="90" w:type="dxa"/>
              <w:right w:w="90" w:type="dxa"/>
            </w:tcMar>
          </w:tcPr>
          <w:p w14:paraId="543AED92">
            <w:pPr>
              <w:spacing w:before="40" w:after="40" w:line="252" w:lineRule="auto"/>
            </w:pPr>
            <w:r>
              <w:rPr>
                <w:b w:val="0"/>
                <w:sz w:val="21"/>
              </w:rPr>
              <w:t>+0.085</w:t>
            </w:r>
          </w:p>
        </w:tc>
        <w:tc>
          <w:tcPr>
            <w:tcW w:w="2976" w:type="dxa"/>
            <w:tcBorders>
              <w:top w:val="nil"/>
              <w:left w:val="nil"/>
              <w:bottom w:val="single" w:color="000000" w:sz="8" w:space="0"/>
              <w:right w:val="nil"/>
            </w:tcBorders>
            <w:tcMar>
              <w:top w:w="90" w:type="dxa"/>
              <w:left w:w="90" w:type="dxa"/>
              <w:bottom w:w="90" w:type="dxa"/>
              <w:right w:w="90" w:type="dxa"/>
            </w:tcMar>
          </w:tcPr>
          <w:p w14:paraId="1285EFE8">
            <w:pPr>
              <w:spacing w:before="40" w:after="40" w:line="252" w:lineRule="auto"/>
            </w:pPr>
            <w:r>
              <w:rPr>
                <w:b w:val="0"/>
                <w:sz w:val="21"/>
              </w:rPr>
              <w:t>+0.845</w:t>
            </w:r>
          </w:p>
        </w:tc>
      </w:tr>
    </w:tbl>
    <w:p w14:paraId="28F7D1CD">
      <w:pPr>
        <w:spacing w:after="0"/>
      </w:pPr>
    </w:p>
    <w:p w14:paraId="2BF2FE5F">
      <w:r>
        <w:t>这张表表明新增 S 的作用不能用单一平均结论概括。MPDD 的两种匹配呈现不同点估计方向，是交互研究的线索；表中尚未展示直接交互区间，不能从行间正负或显著性状态判断交互成立。BTAD 则保留正向替换收益及较小交互线索，不作为支持单一正交互故事的材料。</w:t>
      </w:r>
    </w:p>
    <w:p w14:paraId="1865D7A5">
      <w:pPr>
        <w:pStyle w:val="5"/>
      </w:pPr>
      <w:r>
        <w:t>4.2.4 表征与匹配的直接交互</w:t>
      </w:r>
    </w:p>
    <w:p w14:paraId="3230C2F9">
      <w:r>
        <w:t xml:space="preserve">这是新主题的核心结果节，分别展示 </w:t>
      </w:r>
      <m:oMath>
        <m:sSub>
          <m:sSubPr/>
          <m:e>
            <m:r>
              <m:rPr/>
              <w:rPr>
                <w:rFonts w:ascii="Cambria Math" w:hAnsi="Cambria Math"/>
              </w:rPr>
              <m:t>I</m:t>
            </m:r>
          </m:e>
          <m:sub>
            <m:r>
              <m:rPr>
                <m:sty m:val="p"/>
              </m:rPr>
              <w:rPr>
                <w:rFonts w:ascii="Cambria Math" w:hAnsi="Cambria Math"/>
              </w:rPr>
              <m:t>TRI</m:t>
            </m:r>
          </m:sub>
        </m:sSub>
      </m:oMath>
      <w:r>
        <w:t>、</w:t>
      </w:r>
      <m:oMath>
        <m:sSub>
          <m:sSubPr/>
          <m:e>
            <m:r>
              <m:rPr/>
              <w:rPr>
                <w:rFonts w:ascii="Cambria Math" w:hAnsi="Cambria Math"/>
              </w:rPr>
              <m:t>I</m:t>
            </m:r>
          </m:e>
          <m:sub>
            <m:r>
              <m:rPr>
                <m:sty m:val="p"/>
              </m:rPr>
              <w:rPr>
                <w:rFonts w:ascii="Cambria Math" w:hAnsi="Cambria Math"/>
              </w:rPr>
              <m:t>BAL</m:t>
            </m:r>
          </m:sub>
        </m:sSub>
      </m:oMath>
      <w:r>
        <w:t xml:space="preserve"> 的原始点估计、配对区间、全像素敏感性，以及 </w:t>
      </w:r>
      <m:oMath>
        <m:sSub>
          <m:sSubPr/>
          <m:e>
            <m:r>
              <m:rPr/>
              <w:rPr>
                <w:rFonts w:ascii="Cambria Math" w:hAnsi="Cambria Math"/>
              </w:rPr>
              <m:t>E</m:t>
            </m:r>
          </m:e>
          <m:sub>
            <m:r>
              <m:rPr>
                <m:sty m:val="p"/>
              </m:rPr>
              <w:rPr>
                <w:rFonts w:ascii="Cambria Math" w:hAnsi="Cambria Math"/>
              </w:rPr>
              <m:t>L</m:t>
            </m:r>
          </m:sub>
        </m:sSub>
      </m:oMath>
      <w:r>
        <w:t xml:space="preserve"> 本身。当前直接交互推断尚未完成，主图和摘要不填预期结论。</w:t>
      </w:r>
    </w:p>
    <w:p w14:paraId="1D9420FF">
      <w:r>
        <w:t xml:space="preserve">若交互为正且 </w:t>
      </w:r>
      <m:oMath>
        <m:sSub>
          <m:sSubPr/>
          <m:e>
            <m:r>
              <m:rPr/>
              <w:rPr>
                <w:rFonts w:ascii="Cambria Math" w:hAnsi="Cambria Math"/>
              </w:rPr>
              <m:t>E</m:t>
            </m:r>
          </m:e>
          <m:sub>
            <m:r>
              <m:rPr>
                <m:sty m:val="p"/>
              </m:rPr>
              <w:rPr>
                <w:rFonts w:ascii="Cambria Math" w:hAnsi="Cambria Math"/>
              </w:rPr>
              <m:t>L</m:t>
            </m:r>
          </m:sub>
        </m:sSub>
      </m:oMath>
      <w:r>
        <w:t xml:space="preserve"> 为正，可在对应设置下讨论独立匹配增强了新增表征的价值；若交互为正但 </w:t>
      </w:r>
      <m:oMath>
        <m:sSub>
          <m:sSubPr/>
          <m:e>
            <m:r>
              <m:rPr/>
              <w:rPr>
                <w:rFonts w:ascii="Cambria Math" w:hAnsi="Cambria Math"/>
              </w:rPr>
              <m:t>E</m:t>
            </m:r>
          </m:e>
          <m:sub>
            <m:r>
              <m:rPr>
                <m:sty m:val="p"/>
              </m:rPr>
              <w:rPr>
                <w:rFonts w:ascii="Cambria Math" w:hAnsi="Cambria Math"/>
              </w:rPr>
              <m:t>L</m:t>
            </m:r>
          </m:sub>
        </m:sSub>
      </m:oMath>
      <w:r>
        <w:t xml:space="preserve"> 非正，只能说减轻损失；若区间跨零，写为证据不足；若不同数据集或组合方向不同，结论转为数据或表征依赖。不能将“不显著”写成无影响或统计等价。</w:t>
      </w:r>
    </w:p>
    <w:p w14:paraId="11DCFCA4">
      <w:r>
        <w:t>这一写法允许负结果完成研究问题，同时把主要科学主张与真正需要补足的证据直接对应。</w:t>
      </w:r>
    </w:p>
    <w:p w14:paraId="5861A38E">
      <w:pPr>
        <w:pStyle w:val="5"/>
      </w:pPr>
      <w:r>
        <w:t>4.2.5 参考预算与类别条件</w:t>
      </w:r>
    </w:p>
    <w:p w14:paraId="62A96407">
      <w:r>
        <w:t>使用 K=1、2、4、8 的完整曲线，分别展示匹配效应、表征效应和交互。现有结果不支持跨数据集统一单调规律；嵌套支持使最小原始距离不增，不意味着 AP、G 或交互必然单调。</w:t>
      </w:r>
    </w:p>
    <w:p w14:paraId="2186EB16">
      <w:r>
        <w:t>通过逐类和留一类别分析检查平均结果是否由少数类别驱动。已有 A1 匹配效应的留一类稳定性不能代替新交互的留一类分析。缺陷面积、排序翻转等只用于探索性解释；组内类别构成不同，不写成缺陷大小的因果效应。</w:t>
      </w:r>
    </w:p>
    <w:p w14:paraId="7EE53D9C">
      <w:pPr>
        <w:pStyle w:val="5"/>
      </w:pPr>
      <w:r>
        <w:t>4.2.6 定性案例与参考位置解释</w:t>
      </w:r>
    </w:p>
    <w:p w14:paraId="42479648">
      <w:r>
        <w:t>将查询缺陷局部、共同匹配选中的正常参考 patch，以及各分支独立选择的 patch 并排，帮助读者理解约束具体发生在哪里；同时给热图、预测轮廓与 GT。至少保留五个带红色空心框的细节案例，并包括改善、退化或无明显变化的情况。</w:t>
      </w:r>
    </w:p>
    <w:p w14:paraId="1E34C608">
      <w:r>
        <w:t>按固定逐图定位指标差选取案例，记录完整候选与样本 ID。不能按 L−J 的平均原始分数降低选择“成功”，因为分数降低不等于定位改善。多方法同样本对比至少展示三个样本，研究锚点或明确的主比较结果与 GT 相邻，其他构造放补充面板，避免把约十列文字缩得过小。</w:t>
      </w:r>
    </w:p>
    <w:p w14:paraId="29EB28FE">
      <w:pPr>
        <w:pStyle w:val="5"/>
      </w:pPr>
      <w:r>
        <w:t>4.2.7 成熟方法与计算成本</w:t>
      </w:r>
    </w:p>
    <w:p w14:paraId="67FAF7CF">
      <w:r>
        <w:t>既有两种基线已产出 72 个目标类别级条件，但 AnomalyDINO 的预处理和 PatchCore 的分辨率、维度等有配置差异，评价画布也未完全统一。先披露配置并完成可比性收口，再讨论相对性能；不继续写“尚无基线”，也不据此写“已超过强原生方法”。</w:t>
      </w:r>
    </w:p>
    <w:p w14:paraId="3DD9A72A">
      <w:r>
        <w:t>效率图同时回答：改变匹配方式的成本多大；增加一个编码器的收益是否值得其代价；增加 K 的库规模如何影响资源。按老师要求优先准备 VRAM 与速度双轴图，单位和阶段明确。无目标训练的方法没有 loss-epoch 曲线，向老师说明不适用，另用 K、分支与资源曲线体现变化，替代图仍需审阅。</w:t>
      </w:r>
    </w:p>
    <w:p w14:paraId="05987A7D">
      <w:pPr>
        <w:pStyle w:val="5"/>
      </w:pPr>
      <w:r>
        <w:t>4.2.8 讨论与剩余局限</w:t>
      </w:r>
    </w:p>
    <w:p w14:paraId="4ADACA4E">
      <w:r>
        <w:t>将简明提纲中独立的“讨论与局限”并入本节，以保持已完成英文初稿结构。讨论三个问题：参考匹配与新表征的关系能否形成实际选择建议；哪些现象只属于当前 B/S/C 组合；当成熟单支更强时，本研究仍能提供什么避免无效融合的依据。</w:t>
      </w:r>
    </w:p>
    <w:p w14:paraId="283BC260">
      <w:r>
        <w:t>明确数据集和编码器数量有限、BTAD 非首次未见、现有交互为事后分析、全像素区间尚未具备、坐标版本需统一等范围。预先指定的异构 CNN 组合验证是增强计划，当前没有结果；文本分支、ROI、前景筛选与动态融合留在未来工作，不写进本稿贡献。</w:t>
      </w:r>
    </w:p>
    <w:p w14:paraId="1C720705">
      <w:pPr>
        <w:pStyle w:val="3"/>
      </w:pPr>
      <w:r>
        <w:t>5 结论 Conclusion</w:t>
      </w:r>
    </w:p>
    <w:p w14:paraId="39C26DD2">
      <w:r>
        <w:t>第一段回答研究问题：固定多分支收益不能由分支数量解释，需要区分有效权重、新增表征和参考匹配。第二段概括最终交互结果及其条件；第三段说明实际启示、局限与后续验证。结论不加入正文未报告的数字或方法。</w:t>
      </w:r>
    </w:p>
    <w:p w14:paraId="59497577">
      <w:r>
        <w:rPr>
          <w:b/>
        </w:rPr>
        <w:t>当前可采用的工作表述：</w:t>
      </w:r>
      <w:r>
        <w:t>本文围绕少样本工业异常定位中的固定多视觉融合，建立了对正常参考选择约束的显式分析，并通过复制、表征替换和家族权重保持对照区分不同收益来源。现有结果显示，独立匹配具有较稳定的平均优势，而新增表征的收益依赖数据与融合构造。直接交互分析将进一步检验两者之间的联系。最终结论应以统一评价后的直接效应、稳健性和成本证据为依据，形成具有明确适用条件的融合认识。</w:t>
      </w:r>
    </w:p>
    <w:p w14:paraId="7C91526A">
      <w:r>
        <w:t>投稿时用已完成结论替换上述待验证句。若交互证据不足，保留已成立的匹配与条件性结果，并采用较宽的备选题目，不为保住标题夸大结果。</w:t>
      </w:r>
    </w:p>
    <w:p w14:paraId="1DF0F538">
      <w:pPr>
        <w:pStyle w:val="3"/>
      </w:pPr>
      <w:r>
        <w:t>数据与代码 Data and Code Availability</w:t>
      </w:r>
    </w:p>
    <w:p w14:paraId="0DF09E0C">
      <w:r>
        <w:t>代码和复现材料应包含固定支持清单、配置表、匹配规则、坐标版本、指标与统计说明、图表源文件及生成关系。按老师要求，公开项目名与论文主题相关，不含 SCI；确定正式名称后统一摘要、正文、README 和复现包链接。本轮仅撰写提纲，不修改或发布远程仓库。</w:t>
      </w:r>
    </w:p>
    <w:p w14:paraId="0431BFE9">
      <w:r>
        <w:t>作者、单位、基金、利益冲突及数据使用声明依据真实信息补充，不生成未经作者确认的声明。旧实验包与新主题材料分版本保留。</w:t>
      </w:r>
    </w:p>
    <w:p w14:paraId="4E9ED2A0">
      <w:pPr>
        <w:pStyle w:val="3"/>
      </w:pPr>
      <w:r>
        <w:t>图表与补充材料安排</w:t>
      </w:r>
    </w:p>
    <w:p w14:paraId="69A76586">
      <w:r>
        <w:t>以下为新论文建议编号，不能直接沿用旧图包编号。正式制作时建立“正文图号—图源—PPT 页—数据脚本—日期版本”对应表。</w:t>
      </w:r>
    </w:p>
    <w:tbl>
      <w:tblPr>
        <w:tblStyle w:val="32"/>
        <w:tblW w:w="0" w:type="auto"/>
        <w:tblInd w:w="0" w:type="dxa"/>
        <w:tblLayout w:type="fixed"/>
        <w:tblCellMar>
          <w:top w:w="0" w:type="dxa"/>
          <w:left w:w="108" w:type="dxa"/>
          <w:bottom w:w="0" w:type="dxa"/>
          <w:right w:w="108" w:type="dxa"/>
        </w:tblCellMar>
      </w:tblPr>
      <w:tblGrid>
        <w:gridCol w:w="1871"/>
        <w:gridCol w:w="4025"/>
        <w:gridCol w:w="3742"/>
      </w:tblGrid>
      <w:tr w14:paraId="3F9EB904">
        <w:tblPrEx>
          <w:tblCellMar>
            <w:top w:w="0" w:type="dxa"/>
            <w:left w:w="108" w:type="dxa"/>
            <w:bottom w:w="0" w:type="dxa"/>
            <w:right w:w="108" w:type="dxa"/>
          </w:tblCellMar>
        </w:tblPrEx>
        <w:trPr>
          <w:cantSplit/>
          <w:tblHeader/>
        </w:trPr>
        <w:tc>
          <w:tcPr>
            <w:tcW w:w="1871" w:type="dxa"/>
            <w:tcBorders>
              <w:top w:val="single" w:color="000000" w:sz="8" w:space="0"/>
              <w:left w:val="nil"/>
              <w:bottom w:val="single" w:color="000000" w:sz="8" w:space="0"/>
              <w:right w:val="nil"/>
            </w:tcBorders>
            <w:tcMar>
              <w:top w:w="90" w:type="dxa"/>
              <w:left w:w="90" w:type="dxa"/>
              <w:bottom w:w="90" w:type="dxa"/>
              <w:right w:w="90" w:type="dxa"/>
            </w:tcMar>
          </w:tcPr>
          <w:p w14:paraId="257DA410">
            <w:pPr>
              <w:spacing w:before="40" w:after="40" w:line="252" w:lineRule="auto"/>
            </w:pPr>
            <w:r>
              <w:rPr>
                <w:b/>
                <w:sz w:val="21"/>
              </w:rPr>
              <w:t>图表</w:t>
            </w:r>
          </w:p>
        </w:tc>
        <w:tc>
          <w:tcPr>
            <w:tcW w:w="4025" w:type="dxa"/>
            <w:tcBorders>
              <w:top w:val="single" w:color="000000" w:sz="8" w:space="0"/>
              <w:left w:val="nil"/>
              <w:bottom w:val="single" w:color="000000" w:sz="8" w:space="0"/>
              <w:right w:val="nil"/>
            </w:tcBorders>
            <w:tcMar>
              <w:top w:w="90" w:type="dxa"/>
              <w:left w:w="90" w:type="dxa"/>
              <w:bottom w:w="90" w:type="dxa"/>
              <w:right w:w="90" w:type="dxa"/>
            </w:tcMar>
          </w:tcPr>
          <w:p w14:paraId="1CEB1177">
            <w:pPr>
              <w:spacing w:before="40" w:after="40" w:line="252" w:lineRule="auto"/>
            </w:pPr>
            <w:r>
              <w:rPr>
                <w:b/>
                <w:sz w:val="21"/>
              </w:rPr>
              <w:t>内容与论文位置</w:t>
            </w:r>
          </w:p>
        </w:tc>
        <w:tc>
          <w:tcPr>
            <w:tcW w:w="3742" w:type="dxa"/>
            <w:tcBorders>
              <w:top w:val="single" w:color="000000" w:sz="8" w:space="0"/>
              <w:left w:val="nil"/>
              <w:bottom w:val="single" w:color="000000" w:sz="8" w:space="0"/>
              <w:right w:val="nil"/>
            </w:tcBorders>
            <w:tcMar>
              <w:top w:w="90" w:type="dxa"/>
              <w:left w:w="90" w:type="dxa"/>
              <w:bottom w:w="90" w:type="dxa"/>
              <w:right w:w="90" w:type="dxa"/>
            </w:tcMar>
          </w:tcPr>
          <w:p w14:paraId="1E601EBF">
            <w:pPr>
              <w:spacing w:before="40" w:after="40" w:line="252" w:lineRule="auto"/>
            </w:pPr>
            <w:r>
              <w:rPr>
                <w:b/>
                <w:sz w:val="21"/>
              </w:rPr>
              <w:t>对贡献的作用</w:t>
            </w:r>
          </w:p>
        </w:tc>
      </w:tr>
      <w:tr w14:paraId="60DF7A1A">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014FB24">
            <w:pPr>
              <w:spacing w:before="40" w:after="40" w:line="252" w:lineRule="auto"/>
            </w:pPr>
            <w:r>
              <w:rPr>
                <w:b w:val="0"/>
                <w:sz w:val="21"/>
              </w:rPr>
              <w:t>图 1</w:t>
            </w:r>
          </w:p>
        </w:tc>
        <w:tc>
          <w:tcPr>
            <w:tcW w:w="4025" w:type="dxa"/>
            <w:tcBorders>
              <w:top w:val="nil"/>
              <w:left w:val="nil"/>
              <w:bottom w:val="nil"/>
              <w:right w:val="nil"/>
            </w:tcBorders>
            <w:tcMar>
              <w:top w:w="90" w:type="dxa"/>
              <w:left w:w="90" w:type="dxa"/>
              <w:bottom w:w="90" w:type="dxa"/>
              <w:right w:w="90" w:type="dxa"/>
            </w:tcMar>
          </w:tcPr>
          <w:p w14:paraId="558BBDC3">
            <w:pPr>
              <w:spacing w:before="40" w:after="40" w:line="252" w:lineRule="auto"/>
            </w:pPr>
            <w:r>
              <w:rPr>
                <w:b w:val="0"/>
                <w:sz w:val="21"/>
              </w:rPr>
              <w:t>多图支持建库、查询与真实输出；第 3.2 节</w:t>
            </w:r>
          </w:p>
        </w:tc>
        <w:tc>
          <w:tcPr>
            <w:tcW w:w="3742" w:type="dxa"/>
            <w:tcBorders>
              <w:top w:val="nil"/>
              <w:left w:val="nil"/>
              <w:bottom w:val="nil"/>
              <w:right w:val="nil"/>
            </w:tcBorders>
            <w:tcMar>
              <w:top w:w="90" w:type="dxa"/>
              <w:left w:w="90" w:type="dxa"/>
              <w:bottom w:w="90" w:type="dxa"/>
              <w:right w:w="90" w:type="dxa"/>
            </w:tcMar>
          </w:tcPr>
          <w:p w14:paraId="71C691E3">
            <w:pPr>
              <w:spacing w:before="40" w:after="40" w:line="252" w:lineRule="auto"/>
            </w:pPr>
            <w:r>
              <w:rPr>
                <w:b w:val="0"/>
                <w:sz w:val="21"/>
              </w:rPr>
              <w:t>展示共用研究框架</w:t>
            </w:r>
          </w:p>
        </w:tc>
      </w:tr>
      <w:tr w14:paraId="162F6930">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3B9413B">
            <w:pPr>
              <w:spacing w:before="40" w:after="40" w:line="252" w:lineRule="auto"/>
            </w:pPr>
            <w:r>
              <w:rPr>
                <w:b w:val="0"/>
                <w:sz w:val="21"/>
              </w:rPr>
              <w:t>图 2</w:t>
            </w:r>
          </w:p>
        </w:tc>
        <w:tc>
          <w:tcPr>
            <w:tcW w:w="4025" w:type="dxa"/>
            <w:tcBorders>
              <w:top w:val="nil"/>
              <w:left w:val="nil"/>
              <w:bottom w:val="nil"/>
              <w:right w:val="nil"/>
            </w:tcBorders>
            <w:tcMar>
              <w:top w:w="90" w:type="dxa"/>
              <w:left w:w="90" w:type="dxa"/>
              <w:bottom w:w="90" w:type="dxa"/>
              <w:right w:w="90" w:type="dxa"/>
            </w:tcMar>
          </w:tcPr>
          <w:p w14:paraId="73134CF5">
            <w:pPr>
              <w:spacing w:before="40" w:after="40" w:line="252" w:lineRule="auto"/>
            </w:pPr>
            <w:r>
              <w:rPr>
                <w:b w:val="0"/>
                <w:sz w:val="21"/>
              </w:rPr>
              <w:t>同一查询位置的 J/L 候选参考与约束差；第 3.3 节</w:t>
            </w:r>
          </w:p>
        </w:tc>
        <w:tc>
          <w:tcPr>
            <w:tcW w:w="3742" w:type="dxa"/>
            <w:tcBorders>
              <w:top w:val="nil"/>
              <w:left w:val="nil"/>
              <w:bottom w:val="nil"/>
              <w:right w:val="nil"/>
            </w:tcBorders>
            <w:tcMar>
              <w:top w:w="90" w:type="dxa"/>
              <w:left w:w="90" w:type="dxa"/>
              <w:bottom w:w="90" w:type="dxa"/>
              <w:right w:w="90" w:type="dxa"/>
            </w:tcMar>
          </w:tcPr>
          <w:p w14:paraId="0B6C2185">
            <w:pPr>
              <w:spacing w:before="40" w:after="40" w:line="252" w:lineRule="auto"/>
            </w:pPr>
            <w:r>
              <w:rPr>
                <w:b w:val="0"/>
                <w:sz w:val="21"/>
              </w:rPr>
              <w:t>解释贡献一的核心问题</w:t>
            </w:r>
          </w:p>
        </w:tc>
      </w:tr>
      <w:tr w14:paraId="33AE5A18">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2EA1C545">
            <w:pPr>
              <w:spacing w:before="40" w:after="40" w:line="252" w:lineRule="auto"/>
            </w:pPr>
            <w:r>
              <w:rPr>
                <w:b w:val="0"/>
                <w:sz w:val="21"/>
              </w:rPr>
              <w:t>图 3</w:t>
            </w:r>
          </w:p>
        </w:tc>
        <w:tc>
          <w:tcPr>
            <w:tcW w:w="4025" w:type="dxa"/>
            <w:tcBorders>
              <w:top w:val="nil"/>
              <w:left w:val="nil"/>
              <w:bottom w:val="nil"/>
              <w:right w:val="nil"/>
            </w:tcBorders>
            <w:tcMar>
              <w:top w:w="90" w:type="dxa"/>
              <w:left w:w="90" w:type="dxa"/>
              <w:bottom w:w="90" w:type="dxa"/>
              <w:right w:w="90" w:type="dxa"/>
            </w:tcMar>
          </w:tcPr>
          <w:p w14:paraId="0D6F4AB2">
            <w:pPr>
              <w:spacing w:before="40" w:after="40" w:line="252" w:lineRule="auto"/>
            </w:pPr>
            <w:r>
              <w:rPr>
                <w:b w:val="0"/>
                <w:sz w:val="21"/>
              </w:rPr>
              <w:t>A1/DUP/TRI/BAL 权重与替换路径；第 3.4 节</w:t>
            </w:r>
          </w:p>
        </w:tc>
        <w:tc>
          <w:tcPr>
            <w:tcW w:w="3742" w:type="dxa"/>
            <w:tcBorders>
              <w:top w:val="nil"/>
              <w:left w:val="nil"/>
              <w:bottom w:val="nil"/>
              <w:right w:val="nil"/>
            </w:tcBorders>
            <w:tcMar>
              <w:top w:w="90" w:type="dxa"/>
              <w:left w:w="90" w:type="dxa"/>
              <w:bottom w:w="90" w:type="dxa"/>
              <w:right w:w="90" w:type="dxa"/>
            </w:tcMar>
          </w:tcPr>
          <w:p w14:paraId="2771CE58">
            <w:pPr>
              <w:spacing w:before="40" w:after="40" w:line="252" w:lineRule="auto"/>
            </w:pPr>
            <w:r>
              <w:rPr>
                <w:b w:val="0"/>
                <w:sz w:val="21"/>
              </w:rPr>
              <w:t>解释贡献二的控制逻辑</w:t>
            </w:r>
          </w:p>
        </w:tc>
      </w:tr>
      <w:tr w14:paraId="0B868AC0">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13D9CDB">
            <w:pPr>
              <w:spacing w:before="40" w:after="40" w:line="252" w:lineRule="auto"/>
            </w:pPr>
            <w:r>
              <w:rPr>
                <w:b w:val="0"/>
                <w:sz w:val="21"/>
              </w:rPr>
              <w:t>图 4</w:t>
            </w:r>
          </w:p>
        </w:tc>
        <w:tc>
          <w:tcPr>
            <w:tcW w:w="4025" w:type="dxa"/>
            <w:tcBorders>
              <w:top w:val="nil"/>
              <w:left w:val="nil"/>
              <w:bottom w:val="nil"/>
              <w:right w:val="nil"/>
            </w:tcBorders>
            <w:tcMar>
              <w:top w:w="90" w:type="dxa"/>
              <w:left w:w="90" w:type="dxa"/>
              <w:bottom w:w="90" w:type="dxa"/>
              <w:right w:w="90" w:type="dxa"/>
            </w:tcMar>
          </w:tcPr>
          <w:p w14:paraId="17C38AA8">
            <w:pPr>
              <w:spacing w:before="40" w:after="40" w:line="252" w:lineRule="auto"/>
            </w:pPr>
            <w:r>
              <w:rPr>
                <w:b w:val="0"/>
                <w:sz w:val="21"/>
              </w:rPr>
              <w:t>表征效应与直接交互区间；第 4.2.3—4.2.4 节</w:t>
            </w:r>
          </w:p>
        </w:tc>
        <w:tc>
          <w:tcPr>
            <w:tcW w:w="3742" w:type="dxa"/>
            <w:tcBorders>
              <w:top w:val="nil"/>
              <w:left w:val="nil"/>
              <w:bottom w:val="nil"/>
              <w:right w:val="nil"/>
            </w:tcBorders>
            <w:tcMar>
              <w:top w:w="90" w:type="dxa"/>
              <w:left w:w="90" w:type="dxa"/>
              <w:bottom w:w="90" w:type="dxa"/>
              <w:right w:w="90" w:type="dxa"/>
            </w:tcMar>
          </w:tcPr>
          <w:p w14:paraId="288AF456">
            <w:pPr>
              <w:spacing w:before="40" w:after="40" w:line="252" w:lineRule="auto"/>
            </w:pPr>
            <w:r>
              <w:rPr>
                <w:b w:val="0"/>
                <w:sz w:val="21"/>
              </w:rPr>
              <w:t>新主题的关键结果图</w:t>
            </w:r>
          </w:p>
        </w:tc>
      </w:tr>
      <w:tr w14:paraId="76681D55">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5D14A441">
            <w:pPr>
              <w:spacing w:before="40" w:after="40" w:line="252" w:lineRule="auto"/>
            </w:pPr>
            <w:r>
              <w:rPr>
                <w:b w:val="0"/>
                <w:sz w:val="21"/>
              </w:rPr>
              <w:t>图 5</w:t>
            </w:r>
          </w:p>
        </w:tc>
        <w:tc>
          <w:tcPr>
            <w:tcW w:w="4025" w:type="dxa"/>
            <w:tcBorders>
              <w:top w:val="nil"/>
              <w:left w:val="nil"/>
              <w:bottom w:val="nil"/>
              <w:right w:val="nil"/>
            </w:tcBorders>
            <w:tcMar>
              <w:top w:w="90" w:type="dxa"/>
              <w:left w:w="90" w:type="dxa"/>
              <w:bottom w:w="90" w:type="dxa"/>
              <w:right w:w="90" w:type="dxa"/>
            </w:tcMar>
          </w:tcPr>
          <w:p w14:paraId="7532A204">
            <w:pPr>
              <w:spacing w:before="40" w:after="40" w:line="252" w:lineRule="auto"/>
            </w:pPr>
            <w:r>
              <w:rPr>
                <w:b w:val="0"/>
                <w:sz w:val="21"/>
              </w:rPr>
              <w:t>K 曲线、类别或留一类稳定性；第 4.2.5 节</w:t>
            </w:r>
          </w:p>
        </w:tc>
        <w:tc>
          <w:tcPr>
            <w:tcW w:w="3742" w:type="dxa"/>
            <w:tcBorders>
              <w:top w:val="nil"/>
              <w:left w:val="nil"/>
              <w:bottom w:val="nil"/>
              <w:right w:val="nil"/>
            </w:tcBorders>
            <w:tcMar>
              <w:top w:w="90" w:type="dxa"/>
              <w:left w:w="90" w:type="dxa"/>
              <w:bottom w:w="90" w:type="dxa"/>
              <w:right w:w="90" w:type="dxa"/>
            </w:tcMar>
          </w:tcPr>
          <w:p w14:paraId="667C778E">
            <w:pPr>
              <w:spacing w:before="40" w:after="40" w:line="252" w:lineRule="auto"/>
            </w:pPr>
            <w:r>
              <w:rPr>
                <w:b w:val="0"/>
                <w:sz w:val="21"/>
              </w:rPr>
              <w:t>界定贡献三的适用条件</w:t>
            </w:r>
          </w:p>
        </w:tc>
      </w:tr>
      <w:tr w14:paraId="08BFA30C">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3A86792F">
            <w:pPr>
              <w:spacing w:before="40" w:after="40" w:line="252" w:lineRule="auto"/>
            </w:pPr>
            <w:r>
              <w:rPr>
                <w:b w:val="0"/>
                <w:sz w:val="21"/>
              </w:rPr>
              <w:t>图 6</w:t>
            </w:r>
          </w:p>
        </w:tc>
        <w:tc>
          <w:tcPr>
            <w:tcW w:w="4025" w:type="dxa"/>
            <w:tcBorders>
              <w:top w:val="nil"/>
              <w:left w:val="nil"/>
              <w:bottom w:val="nil"/>
              <w:right w:val="nil"/>
            </w:tcBorders>
            <w:tcMar>
              <w:top w:w="90" w:type="dxa"/>
              <w:left w:w="90" w:type="dxa"/>
              <w:bottom w:w="90" w:type="dxa"/>
              <w:right w:w="90" w:type="dxa"/>
            </w:tcMar>
          </w:tcPr>
          <w:p w14:paraId="0376FA1A">
            <w:pPr>
              <w:spacing w:before="40" w:after="40" w:line="252" w:lineRule="auto"/>
            </w:pPr>
            <w:r>
              <w:rPr>
                <w:b w:val="0"/>
                <w:sz w:val="21"/>
              </w:rPr>
              <w:t>至少五例局部放大、热图与轮廓；第 4.2.6 节</w:t>
            </w:r>
          </w:p>
        </w:tc>
        <w:tc>
          <w:tcPr>
            <w:tcW w:w="3742" w:type="dxa"/>
            <w:tcBorders>
              <w:top w:val="nil"/>
              <w:left w:val="nil"/>
              <w:bottom w:val="nil"/>
              <w:right w:val="nil"/>
            </w:tcBorders>
            <w:tcMar>
              <w:top w:w="90" w:type="dxa"/>
              <w:left w:w="90" w:type="dxa"/>
              <w:bottom w:w="90" w:type="dxa"/>
              <w:right w:w="90" w:type="dxa"/>
            </w:tcMar>
          </w:tcPr>
          <w:p w14:paraId="28C970D2">
            <w:pPr>
              <w:spacing w:before="40" w:after="40" w:line="252" w:lineRule="auto"/>
            </w:pPr>
            <w:r>
              <w:rPr>
                <w:b w:val="0"/>
                <w:sz w:val="21"/>
              </w:rPr>
              <w:t>展示改善与失败及参考差异</w:t>
            </w:r>
          </w:p>
        </w:tc>
      </w:tr>
      <w:tr w14:paraId="5DC1B679">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61C2CB7">
            <w:pPr>
              <w:spacing w:before="40" w:after="40" w:line="252" w:lineRule="auto"/>
            </w:pPr>
            <w:r>
              <w:rPr>
                <w:b w:val="0"/>
                <w:sz w:val="21"/>
              </w:rPr>
              <w:t>图 7</w:t>
            </w:r>
          </w:p>
        </w:tc>
        <w:tc>
          <w:tcPr>
            <w:tcW w:w="4025" w:type="dxa"/>
            <w:tcBorders>
              <w:top w:val="nil"/>
              <w:left w:val="nil"/>
              <w:bottom w:val="nil"/>
              <w:right w:val="nil"/>
            </w:tcBorders>
            <w:tcMar>
              <w:top w:w="90" w:type="dxa"/>
              <w:left w:w="90" w:type="dxa"/>
              <w:bottom w:w="90" w:type="dxa"/>
              <w:right w:w="90" w:type="dxa"/>
            </w:tcMar>
          </w:tcPr>
          <w:p w14:paraId="0E1A0D9F">
            <w:pPr>
              <w:spacing w:before="40" w:after="40" w:line="252" w:lineRule="auto"/>
            </w:pPr>
            <w:r>
              <w:rPr>
                <w:b w:val="0"/>
                <w:sz w:val="21"/>
              </w:rPr>
              <w:t>至少三样本的正式方法对比与 GT</w:t>
            </w:r>
          </w:p>
        </w:tc>
        <w:tc>
          <w:tcPr>
            <w:tcW w:w="3742" w:type="dxa"/>
            <w:tcBorders>
              <w:top w:val="nil"/>
              <w:left w:val="nil"/>
              <w:bottom w:val="nil"/>
              <w:right w:val="nil"/>
            </w:tcBorders>
            <w:tcMar>
              <w:top w:w="90" w:type="dxa"/>
              <w:left w:w="90" w:type="dxa"/>
              <w:bottom w:w="90" w:type="dxa"/>
              <w:right w:w="90" w:type="dxa"/>
            </w:tcMar>
          </w:tcPr>
          <w:p w14:paraId="659A39CF">
            <w:pPr>
              <w:spacing w:before="40" w:after="40" w:line="252" w:lineRule="auto"/>
            </w:pPr>
            <w:r>
              <w:rPr>
                <w:b w:val="0"/>
                <w:sz w:val="21"/>
              </w:rPr>
              <w:t>检查定性实用价值</w:t>
            </w:r>
          </w:p>
        </w:tc>
      </w:tr>
      <w:tr w14:paraId="70BCE3C9">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15412C1B">
            <w:pPr>
              <w:spacing w:before="40" w:after="40" w:line="252" w:lineRule="auto"/>
            </w:pPr>
            <w:r>
              <w:rPr>
                <w:b w:val="0"/>
                <w:sz w:val="21"/>
              </w:rPr>
              <w:t>图 8</w:t>
            </w:r>
          </w:p>
        </w:tc>
        <w:tc>
          <w:tcPr>
            <w:tcW w:w="4025" w:type="dxa"/>
            <w:tcBorders>
              <w:top w:val="nil"/>
              <w:left w:val="nil"/>
              <w:bottom w:val="nil"/>
              <w:right w:val="nil"/>
            </w:tcBorders>
            <w:tcMar>
              <w:top w:w="90" w:type="dxa"/>
              <w:left w:w="90" w:type="dxa"/>
              <w:bottom w:w="90" w:type="dxa"/>
              <w:right w:w="90" w:type="dxa"/>
            </w:tcMar>
          </w:tcPr>
          <w:p w14:paraId="66CE7DBC">
            <w:pPr>
              <w:spacing w:before="40" w:after="40" w:line="252" w:lineRule="auto"/>
            </w:pPr>
            <w:r>
              <w:rPr>
                <w:b w:val="0"/>
                <w:sz w:val="21"/>
              </w:rPr>
              <w:t>VRAM 与推理速度，本文锚点红色</w:t>
            </w:r>
          </w:p>
        </w:tc>
        <w:tc>
          <w:tcPr>
            <w:tcW w:w="3742" w:type="dxa"/>
            <w:tcBorders>
              <w:top w:val="nil"/>
              <w:left w:val="nil"/>
              <w:bottom w:val="nil"/>
              <w:right w:val="nil"/>
            </w:tcBorders>
            <w:tcMar>
              <w:top w:w="90" w:type="dxa"/>
              <w:left w:w="90" w:type="dxa"/>
              <w:bottom w:w="90" w:type="dxa"/>
              <w:right w:w="90" w:type="dxa"/>
            </w:tcMar>
          </w:tcPr>
          <w:p w14:paraId="7917F921">
            <w:pPr>
              <w:spacing w:before="40" w:after="40" w:line="252" w:lineRule="auto"/>
            </w:pPr>
            <w:r>
              <w:rPr>
                <w:b w:val="0"/>
                <w:sz w:val="21"/>
              </w:rPr>
              <w:t>展示方法代价</w:t>
            </w:r>
          </w:p>
        </w:tc>
      </w:tr>
      <w:tr w14:paraId="087E2B27">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7F2CAE35">
            <w:pPr>
              <w:spacing w:before="40" w:after="40" w:line="252" w:lineRule="auto"/>
            </w:pPr>
            <w:r>
              <w:rPr>
                <w:b w:val="0"/>
                <w:sz w:val="21"/>
              </w:rPr>
              <w:t>表 1</w:t>
            </w:r>
          </w:p>
        </w:tc>
        <w:tc>
          <w:tcPr>
            <w:tcW w:w="4025" w:type="dxa"/>
            <w:tcBorders>
              <w:top w:val="nil"/>
              <w:left w:val="nil"/>
              <w:bottom w:val="nil"/>
              <w:right w:val="nil"/>
            </w:tcBorders>
            <w:tcMar>
              <w:top w:w="90" w:type="dxa"/>
              <w:left w:w="90" w:type="dxa"/>
              <w:bottom w:w="90" w:type="dxa"/>
              <w:right w:w="90" w:type="dxa"/>
            </w:tcMar>
          </w:tcPr>
          <w:p w14:paraId="67209105">
            <w:pPr>
              <w:spacing w:before="40" w:after="40" w:line="252" w:lineRule="auto"/>
            </w:pPr>
            <w:r>
              <w:rPr>
                <w:b w:val="0"/>
                <w:sz w:val="21"/>
              </w:rPr>
              <w:t>模型配置和固定条件；第 3.7 节</w:t>
            </w:r>
          </w:p>
        </w:tc>
        <w:tc>
          <w:tcPr>
            <w:tcW w:w="3742" w:type="dxa"/>
            <w:tcBorders>
              <w:top w:val="nil"/>
              <w:left w:val="nil"/>
              <w:bottom w:val="nil"/>
              <w:right w:val="nil"/>
            </w:tcBorders>
            <w:tcMar>
              <w:top w:w="90" w:type="dxa"/>
              <w:left w:w="90" w:type="dxa"/>
              <w:bottom w:w="90" w:type="dxa"/>
              <w:right w:w="90" w:type="dxa"/>
            </w:tcMar>
          </w:tcPr>
          <w:p w14:paraId="2C6AFD9C">
            <w:pPr>
              <w:spacing w:before="40" w:after="40" w:line="252" w:lineRule="auto"/>
            </w:pPr>
            <w:r>
              <w:rPr>
                <w:b w:val="0"/>
                <w:sz w:val="21"/>
              </w:rPr>
              <w:t>可复现技术定义</w:t>
            </w:r>
          </w:p>
        </w:tc>
      </w:tr>
      <w:tr w14:paraId="0EC9C8FB">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5FC994F">
            <w:pPr>
              <w:spacing w:before="40" w:after="40" w:line="252" w:lineRule="auto"/>
            </w:pPr>
            <w:r>
              <w:rPr>
                <w:b w:val="0"/>
                <w:sz w:val="21"/>
              </w:rPr>
              <w:t>表 2</w:t>
            </w:r>
          </w:p>
        </w:tc>
        <w:tc>
          <w:tcPr>
            <w:tcW w:w="4025" w:type="dxa"/>
            <w:tcBorders>
              <w:top w:val="nil"/>
              <w:left w:val="nil"/>
              <w:bottom w:val="nil"/>
              <w:right w:val="nil"/>
            </w:tcBorders>
            <w:tcMar>
              <w:top w:w="90" w:type="dxa"/>
              <w:left w:w="90" w:type="dxa"/>
              <w:bottom w:w="90" w:type="dxa"/>
              <w:right w:w="90" w:type="dxa"/>
            </w:tcMar>
          </w:tcPr>
          <w:p w14:paraId="209B2858">
            <w:pPr>
              <w:spacing w:before="40" w:after="40" w:line="252" w:lineRule="auto"/>
            </w:pPr>
            <w:r>
              <w:rPr>
                <w:b w:val="0"/>
                <w:sz w:val="21"/>
              </w:rPr>
              <w:t>数据角色、K、seed、指标与评价版本</w:t>
            </w:r>
          </w:p>
        </w:tc>
        <w:tc>
          <w:tcPr>
            <w:tcW w:w="3742" w:type="dxa"/>
            <w:tcBorders>
              <w:top w:val="nil"/>
              <w:left w:val="nil"/>
              <w:bottom w:val="nil"/>
              <w:right w:val="nil"/>
            </w:tcBorders>
            <w:tcMar>
              <w:top w:w="90" w:type="dxa"/>
              <w:left w:w="90" w:type="dxa"/>
              <w:bottom w:w="90" w:type="dxa"/>
              <w:right w:w="90" w:type="dxa"/>
            </w:tcMar>
          </w:tcPr>
          <w:p w14:paraId="4395C3B7">
            <w:pPr>
              <w:spacing w:before="40" w:after="40" w:line="252" w:lineRule="auto"/>
            </w:pPr>
            <w:r>
              <w:rPr>
                <w:b w:val="0"/>
                <w:sz w:val="21"/>
              </w:rPr>
              <w:t>支持公平性判断</w:t>
            </w:r>
          </w:p>
        </w:tc>
      </w:tr>
      <w:tr w14:paraId="61EBC461">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1998AE63">
            <w:pPr>
              <w:spacing w:before="40" w:after="40" w:line="252" w:lineRule="auto"/>
            </w:pPr>
            <w:r>
              <w:rPr>
                <w:b w:val="0"/>
                <w:sz w:val="21"/>
              </w:rPr>
              <w:t>表 3</w:t>
            </w:r>
          </w:p>
        </w:tc>
        <w:tc>
          <w:tcPr>
            <w:tcW w:w="4025" w:type="dxa"/>
            <w:tcBorders>
              <w:top w:val="nil"/>
              <w:left w:val="nil"/>
              <w:bottom w:val="nil"/>
              <w:right w:val="nil"/>
            </w:tcBorders>
            <w:tcMar>
              <w:top w:w="90" w:type="dxa"/>
              <w:left w:w="90" w:type="dxa"/>
              <w:bottom w:w="90" w:type="dxa"/>
              <w:right w:w="90" w:type="dxa"/>
            </w:tcMar>
          </w:tcPr>
          <w:p w14:paraId="267116A1">
            <w:pPr>
              <w:spacing w:before="40" w:after="40" w:line="252" w:lineRule="auto"/>
            </w:pPr>
            <w:r>
              <w:rPr>
                <w:b w:val="0"/>
                <w:sz w:val="21"/>
              </w:rPr>
              <w:t>核心构造的全像素性能，区间口径单列</w:t>
            </w:r>
          </w:p>
        </w:tc>
        <w:tc>
          <w:tcPr>
            <w:tcW w:w="3742" w:type="dxa"/>
            <w:tcBorders>
              <w:top w:val="nil"/>
              <w:left w:val="nil"/>
              <w:bottom w:val="nil"/>
              <w:right w:val="nil"/>
            </w:tcBorders>
            <w:tcMar>
              <w:top w:w="90" w:type="dxa"/>
              <w:left w:w="90" w:type="dxa"/>
              <w:bottom w:w="90" w:type="dxa"/>
              <w:right w:w="90" w:type="dxa"/>
            </w:tcMar>
          </w:tcPr>
          <w:p w14:paraId="75C76A84">
            <w:pPr>
              <w:spacing w:before="40" w:after="40" w:line="252" w:lineRule="auto"/>
            </w:pPr>
            <w:r>
              <w:rPr>
                <w:b w:val="0"/>
                <w:sz w:val="21"/>
              </w:rPr>
              <w:t>总体性能证据</w:t>
            </w:r>
          </w:p>
        </w:tc>
      </w:tr>
      <w:tr w14:paraId="35AA79C5">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3FE65EDB">
            <w:pPr>
              <w:spacing w:before="40" w:after="40" w:line="252" w:lineRule="auto"/>
            </w:pPr>
            <w:r>
              <w:rPr>
                <w:b w:val="0"/>
                <w:sz w:val="21"/>
              </w:rPr>
              <w:t>表 4</w:t>
            </w:r>
          </w:p>
        </w:tc>
        <w:tc>
          <w:tcPr>
            <w:tcW w:w="4025" w:type="dxa"/>
            <w:tcBorders>
              <w:top w:val="nil"/>
              <w:left w:val="nil"/>
              <w:bottom w:val="nil"/>
              <w:right w:val="nil"/>
            </w:tcBorders>
            <w:tcMar>
              <w:top w:w="90" w:type="dxa"/>
              <w:left w:w="90" w:type="dxa"/>
              <w:bottom w:w="90" w:type="dxa"/>
              <w:right w:w="90" w:type="dxa"/>
            </w:tcMar>
          </w:tcPr>
          <w:p w14:paraId="68AC1E92">
            <w:pPr>
              <w:spacing w:before="40" w:after="40" w:line="252" w:lineRule="auto"/>
            </w:pPr>
            <w:r>
              <w:rPr>
                <w:b w:val="0"/>
                <w:sz w:val="21"/>
              </w:rPr>
              <w:t>成熟基线配置与统一评价结果</w:t>
            </w:r>
          </w:p>
        </w:tc>
        <w:tc>
          <w:tcPr>
            <w:tcW w:w="3742" w:type="dxa"/>
            <w:tcBorders>
              <w:top w:val="nil"/>
              <w:left w:val="nil"/>
              <w:bottom w:val="nil"/>
              <w:right w:val="nil"/>
            </w:tcBorders>
            <w:tcMar>
              <w:top w:w="90" w:type="dxa"/>
              <w:left w:w="90" w:type="dxa"/>
              <w:bottom w:w="90" w:type="dxa"/>
              <w:right w:w="90" w:type="dxa"/>
            </w:tcMar>
          </w:tcPr>
          <w:p w14:paraId="6D9EAFDB">
            <w:pPr>
              <w:spacing w:before="40" w:after="40" w:line="252" w:lineRule="auto"/>
            </w:pPr>
            <w:r>
              <w:rPr>
                <w:b w:val="0"/>
                <w:sz w:val="21"/>
              </w:rPr>
              <w:t>实际竞争力证据</w:t>
            </w:r>
          </w:p>
        </w:tc>
      </w:tr>
      <w:tr w14:paraId="2A1B8071">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2C3E0CCC">
            <w:pPr>
              <w:spacing w:before="40" w:after="40" w:line="252" w:lineRule="auto"/>
            </w:pPr>
            <w:r>
              <w:rPr>
                <w:b w:val="0"/>
                <w:sz w:val="21"/>
              </w:rPr>
              <w:t>表 S1 至 S4</w:t>
            </w:r>
          </w:p>
        </w:tc>
        <w:tc>
          <w:tcPr>
            <w:tcW w:w="4025" w:type="dxa"/>
            <w:tcBorders>
              <w:top w:val="nil"/>
              <w:left w:val="nil"/>
              <w:bottom w:val="nil"/>
              <w:right w:val="nil"/>
            </w:tcBorders>
            <w:tcMar>
              <w:top w:w="90" w:type="dxa"/>
              <w:left w:w="90" w:type="dxa"/>
              <w:bottom w:w="90" w:type="dxa"/>
              <w:right w:w="90" w:type="dxa"/>
            </w:tcMar>
          </w:tcPr>
          <w:p w14:paraId="03398FD3">
            <w:pPr>
              <w:spacing w:before="40" w:after="40" w:line="252" w:lineRule="auto"/>
            </w:pPr>
            <w:r>
              <w:rPr>
                <w:b w:val="0"/>
                <w:sz w:val="21"/>
              </w:rPr>
              <w:t>全条件、缺失消融、文献差异、版本清单</w:t>
            </w:r>
          </w:p>
        </w:tc>
        <w:tc>
          <w:tcPr>
            <w:tcW w:w="3742" w:type="dxa"/>
            <w:tcBorders>
              <w:top w:val="nil"/>
              <w:left w:val="nil"/>
              <w:bottom w:val="nil"/>
              <w:right w:val="nil"/>
            </w:tcBorders>
            <w:tcMar>
              <w:top w:w="90" w:type="dxa"/>
              <w:left w:w="90" w:type="dxa"/>
              <w:bottom w:w="90" w:type="dxa"/>
              <w:right w:w="90" w:type="dxa"/>
            </w:tcMar>
          </w:tcPr>
          <w:p w14:paraId="426E569D">
            <w:pPr>
              <w:spacing w:before="40" w:after="40" w:line="252" w:lineRule="auto"/>
            </w:pPr>
            <w:r>
              <w:rPr>
                <w:b w:val="0"/>
                <w:sz w:val="21"/>
              </w:rPr>
              <w:t>支撑完整审查</w:t>
            </w:r>
          </w:p>
        </w:tc>
      </w:tr>
      <w:tr w14:paraId="000CBDCA">
        <w:tblPrEx>
          <w:tblCellMar>
            <w:top w:w="0" w:type="dxa"/>
            <w:left w:w="108" w:type="dxa"/>
            <w:bottom w:w="0" w:type="dxa"/>
            <w:right w:w="108" w:type="dxa"/>
          </w:tblCellMar>
        </w:tblPrEx>
        <w:trPr>
          <w:cantSplit/>
        </w:trPr>
        <w:tc>
          <w:tcPr>
            <w:tcW w:w="1871" w:type="dxa"/>
            <w:tcBorders>
              <w:top w:val="nil"/>
              <w:left w:val="nil"/>
              <w:bottom w:val="single" w:color="000000" w:sz="8" w:space="0"/>
              <w:right w:val="nil"/>
            </w:tcBorders>
            <w:tcMar>
              <w:top w:w="90" w:type="dxa"/>
              <w:left w:w="90" w:type="dxa"/>
              <w:bottom w:w="90" w:type="dxa"/>
              <w:right w:w="90" w:type="dxa"/>
            </w:tcMar>
          </w:tcPr>
          <w:p w14:paraId="64A3C230">
            <w:pPr>
              <w:spacing w:before="40" w:after="40" w:line="252" w:lineRule="auto"/>
            </w:pPr>
            <w:r>
              <w:rPr>
                <w:b w:val="0"/>
                <w:sz w:val="21"/>
              </w:rPr>
              <w:t>图 S1 至 S3</w:t>
            </w:r>
          </w:p>
        </w:tc>
        <w:tc>
          <w:tcPr>
            <w:tcW w:w="4025" w:type="dxa"/>
            <w:tcBorders>
              <w:top w:val="nil"/>
              <w:left w:val="nil"/>
              <w:bottom w:val="single" w:color="000000" w:sz="8" w:space="0"/>
              <w:right w:val="nil"/>
            </w:tcBorders>
            <w:tcMar>
              <w:top w:w="90" w:type="dxa"/>
              <w:left w:w="90" w:type="dxa"/>
              <w:bottom w:w="90" w:type="dxa"/>
              <w:right w:w="90" w:type="dxa"/>
            </w:tcMar>
          </w:tcPr>
          <w:p w14:paraId="53BAF030">
            <w:pPr>
              <w:spacing w:before="40" w:after="40" w:line="252" w:lineRule="auto"/>
            </w:pPr>
            <w:r>
              <w:rPr>
                <w:b w:val="0"/>
                <w:sz w:val="21"/>
              </w:rPr>
              <w:t>编码器几何、真模块消融、额外案例或组合验证</w:t>
            </w:r>
          </w:p>
        </w:tc>
        <w:tc>
          <w:tcPr>
            <w:tcW w:w="3742" w:type="dxa"/>
            <w:tcBorders>
              <w:top w:val="nil"/>
              <w:left w:val="nil"/>
              <w:bottom w:val="single" w:color="000000" w:sz="8" w:space="0"/>
              <w:right w:val="nil"/>
            </w:tcBorders>
            <w:tcMar>
              <w:top w:w="90" w:type="dxa"/>
              <w:left w:w="90" w:type="dxa"/>
              <w:bottom w:w="90" w:type="dxa"/>
              <w:right w:w="90" w:type="dxa"/>
            </w:tcMar>
          </w:tcPr>
          <w:p w14:paraId="54C7414F">
            <w:pPr>
              <w:spacing w:before="40" w:after="40" w:line="252" w:lineRule="auto"/>
            </w:pPr>
            <w:r>
              <w:rPr>
                <w:b w:val="0"/>
                <w:sz w:val="21"/>
              </w:rPr>
              <w:t>承载技术细节及增强证据</w:t>
            </w:r>
          </w:p>
        </w:tc>
      </w:tr>
    </w:tbl>
    <w:p w14:paraId="4EF26106">
      <w:pPr>
        <w:spacing w:after="0"/>
      </w:pPr>
    </w:p>
    <w:p w14:paraId="7E5F5219">
      <w:r>
        <w:t>方法图保持可编辑 PPT 元素；正式 Word 公式使用原生数学对象并连续编号。普通英文图中文字与正文一致，数学量的字体、粗斜体和上下标按定义统一。图内承载信息的文字在论文最终尺寸下尽量不小于正文；移除重复 Fig. 大标题，保留 caption、子图编号和模块名。</w:t>
      </w:r>
    </w:p>
    <w:p w14:paraId="4CB0E8CD">
      <w:r>
        <w:t>Normalized 与 Concatenate 若同时出现，用两种背景色区分；公式靠近所属模块，并用弱虚线相连。不同任务路径也保持清楚的视觉分区。新图不以添加未定义变量填空，也不重复旧图中容易混淆的系数。</w:t>
      </w:r>
    </w:p>
    <w:p w14:paraId="2A1EFCA7">
      <w:r>
        <w:t>表格按课堂要求统一为三线表，同表字号一致，同一数据集行合并或分组。DCFnet/A1 锚点行按要求整行加粗，并在表注声明粗体表示研究锚点而非全部最优；其他研究变体不全部加粗，避免整表失去重点。热图缩放、轮廓阈值和 GT 图例在 caption 中交代。</w:t>
      </w:r>
    </w:p>
    <w:p w14:paraId="46AB2DD7">
      <w:pPr>
        <w:pStyle w:val="3"/>
      </w:pPr>
      <w:r>
        <w:t>审阅重点与证据完成情况</w:t>
      </w:r>
    </w:p>
    <w:p w14:paraId="0672ADF3">
      <w:pPr>
        <w:pStyle w:val="4"/>
      </w:pPr>
      <w:r>
        <w:t>这版提纲解决了哪些旧问题</w:t>
      </w:r>
    </w:p>
    <w:p w14:paraId="1887368B">
      <w:r>
        <w:t>原来“融合两个成熟模型”的贡献，改为研究参考选择这一具体约束；原来“三支是否优于两支”的比较，加入复制和家族权重保持对照；原来“常规实验评估”这一贡献，改为待直接检验的交互问题及有条件的经验发现。全部方法、结果和图表都围绕这条主线，避免为了凑创新点添加无关的 ROI 或新网络层。</w:t>
      </w:r>
    </w:p>
    <w:p w14:paraId="7318E492">
      <w:r>
        <w:t>新增交互仍是候选核心发现，不能通过这一写法宣称创新性问题已全部解决。最关键的待完成项是直接交互证据、统一评价后的稳健性，以及与最相近文献的具体差异。老师可以据此评议研究贡献路线，而不必从实验日志推断论文价值。</w:t>
      </w:r>
    </w:p>
    <w:p w14:paraId="58CC03D5">
      <w:pPr>
        <w:pStyle w:val="4"/>
      </w:pPr>
      <w:r>
        <w:t>当前证据状态</w:t>
      </w:r>
    </w:p>
    <w:tbl>
      <w:tblPr>
        <w:tblStyle w:val="32"/>
        <w:tblW w:w="0" w:type="auto"/>
        <w:tblInd w:w="0" w:type="dxa"/>
        <w:tblLayout w:type="fixed"/>
        <w:tblCellMar>
          <w:top w:w="0" w:type="dxa"/>
          <w:left w:w="108" w:type="dxa"/>
          <w:bottom w:w="0" w:type="dxa"/>
          <w:right w:w="108" w:type="dxa"/>
        </w:tblCellMar>
      </w:tblPr>
      <w:tblGrid>
        <w:gridCol w:w="1871"/>
        <w:gridCol w:w="4025"/>
        <w:gridCol w:w="3742"/>
      </w:tblGrid>
      <w:tr w14:paraId="6F994641">
        <w:tblPrEx>
          <w:tblCellMar>
            <w:top w:w="0" w:type="dxa"/>
            <w:left w:w="108" w:type="dxa"/>
            <w:bottom w:w="0" w:type="dxa"/>
            <w:right w:w="108" w:type="dxa"/>
          </w:tblCellMar>
        </w:tblPrEx>
        <w:trPr>
          <w:cantSplit/>
          <w:tblHeader/>
        </w:trPr>
        <w:tc>
          <w:tcPr>
            <w:tcW w:w="1871" w:type="dxa"/>
            <w:tcBorders>
              <w:top w:val="single" w:color="000000" w:sz="8" w:space="0"/>
              <w:left w:val="nil"/>
              <w:bottom w:val="single" w:color="000000" w:sz="8" w:space="0"/>
              <w:right w:val="nil"/>
            </w:tcBorders>
            <w:tcMar>
              <w:top w:w="90" w:type="dxa"/>
              <w:left w:w="90" w:type="dxa"/>
              <w:bottom w:w="90" w:type="dxa"/>
              <w:right w:w="90" w:type="dxa"/>
            </w:tcMar>
          </w:tcPr>
          <w:p w14:paraId="3F8F426B">
            <w:pPr>
              <w:spacing w:before="40" w:after="40" w:line="252" w:lineRule="auto"/>
            </w:pPr>
            <w:r>
              <w:rPr>
                <w:b/>
                <w:sz w:val="21"/>
              </w:rPr>
              <w:t>内容</w:t>
            </w:r>
          </w:p>
        </w:tc>
        <w:tc>
          <w:tcPr>
            <w:tcW w:w="4025" w:type="dxa"/>
            <w:tcBorders>
              <w:top w:val="single" w:color="000000" w:sz="8" w:space="0"/>
              <w:left w:val="nil"/>
              <w:bottom w:val="single" w:color="000000" w:sz="8" w:space="0"/>
              <w:right w:val="nil"/>
            </w:tcBorders>
            <w:tcMar>
              <w:top w:w="90" w:type="dxa"/>
              <w:left w:w="90" w:type="dxa"/>
              <w:bottom w:w="90" w:type="dxa"/>
              <w:right w:w="90" w:type="dxa"/>
            </w:tcMar>
          </w:tcPr>
          <w:p w14:paraId="4902ECAF">
            <w:pPr>
              <w:spacing w:before="40" w:after="40" w:line="252" w:lineRule="auto"/>
            </w:pPr>
            <w:r>
              <w:rPr>
                <w:b/>
                <w:sz w:val="21"/>
              </w:rPr>
              <w:t>本轮检查到的状态</w:t>
            </w:r>
          </w:p>
        </w:tc>
        <w:tc>
          <w:tcPr>
            <w:tcW w:w="3742" w:type="dxa"/>
            <w:tcBorders>
              <w:top w:val="single" w:color="000000" w:sz="8" w:space="0"/>
              <w:left w:val="nil"/>
              <w:bottom w:val="single" w:color="000000" w:sz="8" w:space="0"/>
              <w:right w:val="nil"/>
            </w:tcBorders>
            <w:tcMar>
              <w:top w:w="90" w:type="dxa"/>
              <w:left w:w="90" w:type="dxa"/>
              <w:bottom w:w="90" w:type="dxa"/>
              <w:right w:w="90" w:type="dxa"/>
            </w:tcMar>
          </w:tcPr>
          <w:p w14:paraId="2B686000">
            <w:pPr>
              <w:spacing w:before="40" w:after="40" w:line="252" w:lineRule="auto"/>
            </w:pPr>
            <w:r>
              <w:rPr>
                <w:b/>
                <w:sz w:val="21"/>
              </w:rPr>
              <w:t>提纲中的处理</w:t>
            </w:r>
          </w:p>
        </w:tc>
      </w:tr>
      <w:tr w14:paraId="5AD08288">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C91E97E">
            <w:pPr>
              <w:spacing w:before="40" w:after="40" w:line="252" w:lineRule="auto"/>
            </w:pPr>
            <w:r>
              <w:rPr>
                <w:b w:val="0"/>
                <w:sz w:val="21"/>
              </w:rPr>
              <w:t>B/S/C 主矩阵</w:t>
            </w:r>
          </w:p>
        </w:tc>
        <w:tc>
          <w:tcPr>
            <w:tcW w:w="4025" w:type="dxa"/>
            <w:tcBorders>
              <w:top w:val="nil"/>
              <w:left w:val="nil"/>
              <w:bottom w:val="nil"/>
              <w:right w:val="nil"/>
            </w:tcBorders>
            <w:tcMar>
              <w:top w:w="90" w:type="dxa"/>
              <w:left w:w="90" w:type="dxa"/>
              <w:bottom w:w="90" w:type="dxa"/>
              <w:right w:w="90" w:type="dxa"/>
            </w:tcMar>
          </w:tcPr>
          <w:p w14:paraId="251500F5">
            <w:pPr>
              <w:spacing w:before="40" w:after="40" w:line="252" w:lineRule="auto"/>
            </w:pPr>
            <w:r>
              <w:rPr>
                <w:b w:val="0"/>
                <w:sz w:val="21"/>
              </w:rPr>
              <w:t>96 个单元、11 核心构造已产出</w:t>
            </w:r>
          </w:p>
        </w:tc>
        <w:tc>
          <w:tcPr>
            <w:tcW w:w="3742" w:type="dxa"/>
            <w:tcBorders>
              <w:top w:val="nil"/>
              <w:left w:val="nil"/>
              <w:bottom w:val="nil"/>
              <w:right w:val="nil"/>
            </w:tcBorders>
            <w:tcMar>
              <w:top w:w="90" w:type="dxa"/>
              <w:left w:w="90" w:type="dxa"/>
              <w:bottom w:w="90" w:type="dxa"/>
              <w:right w:w="90" w:type="dxa"/>
            </w:tcMar>
          </w:tcPr>
          <w:p w14:paraId="2661FA62">
            <w:pPr>
              <w:spacing w:before="40" w:after="40" w:line="252" w:lineRule="auto"/>
            </w:pPr>
            <w:r>
              <w:rPr>
                <w:b w:val="0"/>
                <w:sz w:val="21"/>
              </w:rPr>
              <w:t>方法可写，结果按对应版本引用</w:t>
            </w:r>
          </w:p>
        </w:tc>
      </w:tr>
      <w:tr w14:paraId="0F3D0436">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565B666C">
            <w:pPr>
              <w:spacing w:before="40" w:after="40" w:line="252" w:lineRule="auto"/>
            </w:pPr>
            <w:r>
              <w:rPr>
                <w:b w:val="0"/>
                <w:sz w:val="21"/>
              </w:rPr>
              <w:t>成对效应汇总区间</w:t>
            </w:r>
          </w:p>
        </w:tc>
        <w:tc>
          <w:tcPr>
            <w:tcW w:w="4025" w:type="dxa"/>
            <w:tcBorders>
              <w:top w:val="nil"/>
              <w:left w:val="nil"/>
              <w:bottom w:val="nil"/>
              <w:right w:val="nil"/>
            </w:tcBorders>
            <w:tcMar>
              <w:top w:w="90" w:type="dxa"/>
              <w:left w:w="90" w:type="dxa"/>
              <w:bottom w:w="90" w:type="dxa"/>
              <w:right w:w="90" w:type="dxa"/>
            </w:tcMar>
          </w:tcPr>
          <w:p w14:paraId="56B2B319">
            <w:pPr>
              <w:spacing w:before="40" w:after="40" w:line="252" w:lineRule="auto"/>
            </w:pPr>
            <w:r>
              <w:rPr>
                <w:b w:val="0"/>
                <w:sz w:val="21"/>
              </w:rPr>
              <w:t>9 月 14 日收口包已有修正表</w:t>
            </w:r>
          </w:p>
        </w:tc>
        <w:tc>
          <w:tcPr>
            <w:tcW w:w="3742" w:type="dxa"/>
            <w:tcBorders>
              <w:top w:val="nil"/>
              <w:left w:val="nil"/>
              <w:bottom w:val="nil"/>
              <w:right w:val="nil"/>
            </w:tcBorders>
            <w:tcMar>
              <w:top w:w="90" w:type="dxa"/>
              <w:left w:w="90" w:type="dxa"/>
              <w:bottom w:w="90" w:type="dxa"/>
              <w:right w:w="90" w:type="dxa"/>
            </w:tcMar>
          </w:tcPr>
          <w:p w14:paraId="1D9ABF3E">
            <w:pPr>
              <w:spacing w:before="40" w:after="40" w:line="252" w:lineRule="auto"/>
            </w:pPr>
            <w:r>
              <w:rPr>
                <w:b w:val="0"/>
                <w:sz w:val="21"/>
              </w:rPr>
              <w:t>不沿用旧“未修正”描述</w:t>
            </w:r>
          </w:p>
        </w:tc>
      </w:tr>
      <w:tr w14:paraId="78BBE48F">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2866D80B">
            <w:pPr>
              <w:spacing w:before="40" w:after="40" w:line="252" w:lineRule="auto"/>
            </w:pPr>
            <w:r>
              <w:rPr>
                <w:b w:val="0"/>
                <w:sz w:val="21"/>
              </w:rPr>
              <w:t>原生方法配置参照</w:t>
            </w:r>
          </w:p>
        </w:tc>
        <w:tc>
          <w:tcPr>
            <w:tcW w:w="4025" w:type="dxa"/>
            <w:tcBorders>
              <w:top w:val="nil"/>
              <w:left w:val="nil"/>
              <w:bottom w:val="nil"/>
              <w:right w:val="nil"/>
            </w:tcBorders>
            <w:tcMar>
              <w:top w:w="90" w:type="dxa"/>
              <w:left w:w="90" w:type="dxa"/>
              <w:bottom w:w="90" w:type="dxa"/>
              <w:right w:w="90" w:type="dxa"/>
            </w:tcMar>
          </w:tcPr>
          <w:p w14:paraId="1973EFB1">
            <w:pPr>
              <w:spacing w:before="40" w:after="40" w:line="252" w:lineRule="auto"/>
            </w:pPr>
            <w:r>
              <w:rPr>
                <w:b w:val="0"/>
                <w:sz w:val="21"/>
              </w:rPr>
              <w:t>72 个目标条件已产出，可比性待收口</w:t>
            </w:r>
          </w:p>
        </w:tc>
        <w:tc>
          <w:tcPr>
            <w:tcW w:w="3742" w:type="dxa"/>
            <w:tcBorders>
              <w:top w:val="nil"/>
              <w:left w:val="nil"/>
              <w:bottom w:val="nil"/>
              <w:right w:val="nil"/>
            </w:tcBorders>
            <w:tcMar>
              <w:top w:w="90" w:type="dxa"/>
              <w:left w:w="90" w:type="dxa"/>
              <w:bottom w:w="90" w:type="dxa"/>
              <w:right w:w="90" w:type="dxa"/>
            </w:tcMar>
          </w:tcPr>
          <w:p w14:paraId="432ECFCF">
            <w:pPr>
              <w:spacing w:before="40" w:after="40" w:line="252" w:lineRule="auto"/>
            </w:pPr>
            <w:r>
              <w:rPr>
                <w:b w:val="0"/>
                <w:sz w:val="21"/>
              </w:rPr>
              <w:t>不提前排序宣称超越</w:t>
            </w:r>
          </w:p>
        </w:tc>
      </w:tr>
      <w:tr w14:paraId="2F5AE234">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4C85F112">
            <w:pPr>
              <w:spacing w:before="40" w:after="40" w:line="252" w:lineRule="auto"/>
            </w:pPr>
            <w:r>
              <w:rPr>
                <w:b w:val="0"/>
                <w:sz w:val="21"/>
              </w:rPr>
              <w:t>BTAD03 GT 与坐标</w:t>
            </w:r>
          </w:p>
        </w:tc>
        <w:tc>
          <w:tcPr>
            <w:tcW w:w="4025" w:type="dxa"/>
            <w:tcBorders>
              <w:top w:val="nil"/>
              <w:left w:val="nil"/>
              <w:bottom w:val="nil"/>
              <w:right w:val="nil"/>
            </w:tcBorders>
            <w:tcMar>
              <w:top w:w="90" w:type="dxa"/>
              <w:left w:w="90" w:type="dxa"/>
              <w:bottom w:w="90" w:type="dxa"/>
              <w:right w:w="90" w:type="dxa"/>
            </w:tcMar>
          </w:tcPr>
          <w:p w14:paraId="2724E8B7">
            <w:pPr>
              <w:spacing w:before="40" w:after="40" w:line="252" w:lineRule="auto"/>
            </w:pPr>
            <w:r>
              <w:rPr>
                <w:b w:val="0"/>
                <w:sz w:val="21"/>
              </w:rPr>
              <w:t>新目录已生成忠实 GT 与坐标审计</w:t>
            </w:r>
          </w:p>
        </w:tc>
        <w:tc>
          <w:tcPr>
            <w:tcW w:w="3742" w:type="dxa"/>
            <w:tcBorders>
              <w:top w:val="nil"/>
              <w:left w:val="nil"/>
              <w:bottom w:val="nil"/>
              <w:right w:val="nil"/>
            </w:tcBorders>
            <w:tcMar>
              <w:top w:w="90" w:type="dxa"/>
              <w:left w:w="90" w:type="dxa"/>
              <w:bottom w:w="90" w:type="dxa"/>
              <w:right w:w="90" w:type="dxa"/>
            </w:tcMar>
          </w:tcPr>
          <w:p w14:paraId="18E635A2">
            <w:pPr>
              <w:spacing w:before="40" w:after="40" w:line="252" w:lineRule="auto"/>
            </w:pPr>
            <w:r>
              <w:rPr>
                <w:b w:val="0"/>
                <w:sz w:val="21"/>
              </w:rPr>
              <w:t>最终主统计尚需同版本对齐</w:t>
            </w:r>
          </w:p>
        </w:tc>
      </w:tr>
      <w:tr w14:paraId="282254F0">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2625C413">
            <w:pPr>
              <w:spacing w:before="40" w:after="40" w:line="252" w:lineRule="auto"/>
            </w:pPr>
            <w:r>
              <w:rPr>
                <w:b w:val="0"/>
                <w:sz w:val="21"/>
              </w:rPr>
              <w:t>直接交互</w:t>
            </w:r>
          </w:p>
        </w:tc>
        <w:tc>
          <w:tcPr>
            <w:tcW w:w="4025" w:type="dxa"/>
            <w:tcBorders>
              <w:top w:val="nil"/>
              <w:left w:val="nil"/>
              <w:bottom w:val="nil"/>
              <w:right w:val="nil"/>
            </w:tcBorders>
            <w:tcMar>
              <w:top w:w="90" w:type="dxa"/>
              <w:left w:w="90" w:type="dxa"/>
              <w:bottom w:w="90" w:type="dxa"/>
              <w:right w:w="90" w:type="dxa"/>
            </w:tcMar>
          </w:tcPr>
          <w:p w14:paraId="6E85D91E">
            <w:pPr>
              <w:spacing w:before="40" w:after="40" w:line="252" w:lineRule="auto"/>
            </w:pPr>
            <w:r>
              <w:rPr>
                <w:b w:val="0"/>
                <w:sz w:val="21"/>
              </w:rPr>
              <w:t>检查时尚无完整交互结果表</w:t>
            </w:r>
          </w:p>
        </w:tc>
        <w:tc>
          <w:tcPr>
            <w:tcW w:w="3742" w:type="dxa"/>
            <w:tcBorders>
              <w:top w:val="nil"/>
              <w:left w:val="nil"/>
              <w:bottom w:val="nil"/>
              <w:right w:val="nil"/>
            </w:tcBorders>
            <w:tcMar>
              <w:top w:w="90" w:type="dxa"/>
              <w:left w:w="90" w:type="dxa"/>
              <w:bottom w:w="90" w:type="dxa"/>
              <w:right w:w="90" w:type="dxa"/>
            </w:tcMar>
          </w:tcPr>
          <w:p w14:paraId="0796985B">
            <w:pPr>
              <w:spacing w:before="40" w:after="40" w:line="252" w:lineRule="auto"/>
            </w:pPr>
            <w:r>
              <w:rPr>
                <w:b w:val="0"/>
                <w:sz w:val="21"/>
              </w:rPr>
              <w:t>第 4.2.4 节保留明确验证位置</w:t>
            </w:r>
          </w:p>
        </w:tc>
      </w:tr>
      <w:tr w14:paraId="4020FA87">
        <w:tblPrEx>
          <w:tblCellMar>
            <w:top w:w="0" w:type="dxa"/>
            <w:left w:w="108" w:type="dxa"/>
            <w:bottom w:w="0" w:type="dxa"/>
            <w:right w:w="108" w:type="dxa"/>
          </w:tblCellMar>
        </w:tblPrEx>
        <w:trPr>
          <w:cantSplit/>
        </w:trPr>
        <w:tc>
          <w:tcPr>
            <w:tcW w:w="1871" w:type="dxa"/>
            <w:tcBorders>
              <w:top w:val="nil"/>
              <w:left w:val="nil"/>
              <w:bottom w:val="nil"/>
              <w:right w:val="nil"/>
            </w:tcBorders>
            <w:tcMar>
              <w:top w:w="90" w:type="dxa"/>
              <w:left w:w="90" w:type="dxa"/>
              <w:bottom w:w="90" w:type="dxa"/>
              <w:right w:w="90" w:type="dxa"/>
            </w:tcMar>
          </w:tcPr>
          <w:p w14:paraId="0AB38DF0">
            <w:pPr>
              <w:spacing w:before="40" w:after="40" w:line="252" w:lineRule="auto"/>
            </w:pPr>
            <w:r>
              <w:rPr>
                <w:b w:val="0"/>
                <w:sz w:val="21"/>
              </w:rPr>
              <w:t>异构新编码器组合</w:t>
            </w:r>
          </w:p>
        </w:tc>
        <w:tc>
          <w:tcPr>
            <w:tcW w:w="4025" w:type="dxa"/>
            <w:tcBorders>
              <w:top w:val="nil"/>
              <w:left w:val="nil"/>
              <w:bottom w:val="nil"/>
              <w:right w:val="nil"/>
            </w:tcBorders>
            <w:tcMar>
              <w:top w:w="90" w:type="dxa"/>
              <w:left w:w="90" w:type="dxa"/>
              <w:bottom w:w="90" w:type="dxa"/>
              <w:right w:w="90" w:type="dxa"/>
            </w:tcMar>
          </w:tcPr>
          <w:p w14:paraId="1BDE4109">
            <w:pPr>
              <w:spacing w:before="40" w:after="40" w:line="252" w:lineRule="auto"/>
            </w:pPr>
            <w:r>
              <w:rPr>
                <w:b w:val="0"/>
                <w:sz w:val="21"/>
              </w:rPr>
              <w:t>为增强计划，尚无结果</w:t>
            </w:r>
          </w:p>
        </w:tc>
        <w:tc>
          <w:tcPr>
            <w:tcW w:w="3742" w:type="dxa"/>
            <w:tcBorders>
              <w:top w:val="nil"/>
              <w:left w:val="nil"/>
              <w:bottom w:val="nil"/>
              <w:right w:val="nil"/>
            </w:tcBorders>
            <w:tcMar>
              <w:top w:w="90" w:type="dxa"/>
              <w:left w:w="90" w:type="dxa"/>
              <w:bottom w:w="90" w:type="dxa"/>
              <w:right w:w="90" w:type="dxa"/>
            </w:tcMar>
          </w:tcPr>
          <w:p w14:paraId="2CEB379E">
            <w:pPr>
              <w:spacing w:before="40" w:after="40" w:line="252" w:lineRule="auto"/>
            </w:pPr>
            <w:r>
              <w:rPr>
                <w:b w:val="0"/>
                <w:sz w:val="21"/>
              </w:rPr>
              <w:t>放附录计划，不写进已完成贡献</w:t>
            </w:r>
          </w:p>
        </w:tc>
      </w:tr>
      <w:tr w14:paraId="6BD7F931">
        <w:tblPrEx>
          <w:tblCellMar>
            <w:top w:w="0" w:type="dxa"/>
            <w:left w:w="108" w:type="dxa"/>
            <w:bottom w:w="0" w:type="dxa"/>
            <w:right w:w="108" w:type="dxa"/>
          </w:tblCellMar>
        </w:tblPrEx>
        <w:trPr>
          <w:cantSplit/>
        </w:trPr>
        <w:tc>
          <w:tcPr>
            <w:tcW w:w="1871" w:type="dxa"/>
            <w:tcBorders>
              <w:top w:val="nil"/>
              <w:left w:val="nil"/>
              <w:bottom w:val="single" w:color="000000" w:sz="8" w:space="0"/>
              <w:right w:val="nil"/>
            </w:tcBorders>
            <w:tcMar>
              <w:top w:w="90" w:type="dxa"/>
              <w:left w:w="90" w:type="dxa"/>
              <w:bottom w:w="90" w:type="dxa"/>
              <w:right w:w="90" w:type="dxa"/>
            </w:tcMar>
          </w:tcPr>
          <w:p w14:paraId="3719CF77">
            <w:pPr>
              <w:spacing w:before="40" w:after="40" w:line="252" w:lineRule="auto"/>
            </w:pPr>
            <w:r>
              <w:rPr>
                <w:b w:val="0"/>
                <w:sz w:val="21"/>
              </w:rPr>
              <w:t>新颖性</w:t>
            </w:r>
          </w:p>
        </w:tc>
        <w:tc>
          <w:tcPr>
            <w:tcW w:w="4025" w:type="dxa"/>
            <w:tcBorders>
              <w:top w:val="nil"/>
              <w:left w:val="nil"/>
              <w:bottom w:val="single" w:color="000000" w:sz="8" w:space="0"/>
              <w:right w:val="nil"/>
            </w:tcBorders>
            <w:tcMar>
              <w:top w:w="90" w:type="dxa"/>
              <w:left w:w="90" w:type="dxa"/>
              <w:bottom w:w="90" w:type="dxa"/>
              <w:right w:w="90" w:type="dxa"/>
            </w:tcMar>
          </w:tcPr>
          <w:p w14:paraId="3A64CEA0">
            <w:pPr>
              <w:spacing w:before="40" w:after="40" w:line="252" w:lineRule="auto"/>
            </w:pPr>
            <w:r>
              <w:rPr>
                <w:b w:val="0"/>
                <w:sz w:val="21"/>
              </w:rPr>
              <w:t>关键一手入口已查，完整原文对照待补</w:t>
            </w:r>
          </w:p>
        </w:tc>
        <w:tc>
          <w:tcPr>
            <w:tcW w:w="3742" w:type="dxa"/>
            <w:tcBorders>
              <w:top w:val="nil"/>
              <w:left w:val="nil"/>
              <w:bottom w:val="single" w:color="000000" w:sz="8" w:space="0"/>
              <w:right w:val="nil"/>
            </w:tcBorders>
            <w:tcMar>
              <w:top w:w="90" w:type="dxa"/>
              <w:left w:w="90" w:type="dxa"/>
              <w:bottom w:w="90" w:type="dxa"/>
              <w:right w:w="90" w:type="dxa"/>
            </w:tcMar>
          </w:tcPr>
          <w:p w14:paraId="2A9F95C9">
            <w:pPr>
              <w:spacing w:before="40" w:after="40" w:line="252" w:lineRule="auto"/>
            </w:pPr>
            <w:r>
              <w:rPr>
                <w:b w:val="0"/>
                <w:sz w:val="21"/>
              </w:rPr>
              <w:t>具体陈述研究问题，不使用 first</w:t>
            </w:r>
          </w:p>
        </w:tc>
      </w:tr>
    </w:tbl>
    <w:p w14:paraId="5DFE5E40">
      <w:pPr>
        <w:spacing w:after="0"/>
      </w:pPr>
    </w:p>
    <w:p w14:paraId="01FDC479">
      <w:r>
        <w:t>这里的完成状态为编写时快照，不等同于其他任务后续产物的验收。本次只检查材料并撰写提纲，没有启动实验、改动预测或产生新统计成绩。</w:t>
      </w:r>
    </w:p>
    <w:p w14:paraId="50C0DE8F">
      <w:pPr>
        <w:pStyle w:val="4"/>
      </w:pPr>
      <w:r>
        <w:t>建议老师优先批阅的四处</w:t>
      </w:r>
    </w:p>
    <w:p w14:paraId="7430C444">
      <w:pPr>
        <w:keepNext/>
      </w:pPr>
      <w:r>
        <w:t>1. 题目及核心问题是否足够集中，是否接受受控研究型论文定位。</w:t>
      </w:r>
    </w:p>
    <w:p w14:paraId="08D3C08C">
      <w:pPr>
        <w:keepNext/>
      </w:pPr>
      <w:r>
        <w:t>2. 第 1.5 节三项贡献是否具有独立价值，尤其贡献二是否比原稿的常规评价描述更有实质性。</w:t>
      </w:r>
    </w:p>
    <w:p w14:paraId="48E4A4F3">
      <w:pPr>
        <w:keepNext/>
      </w:pPr>
      <w:r>
        <w:t>3. 直接交互与实用基线证据完成后，是否还需要一个新编码器组合支持外推。</w:t>
      </w:r>
    </w:p>
    <w:p w14:paraId="7605619F">
      <w:r>
        <w:t>4. 是否同意将 ROI 与动态融合留作后续，并以 K、交互及资源曲线替代不适用的训练 loss 曲线。</w:t>
      </w:r>
    </w:p>
    <w:p w14:paraId="55F69516">
      <w:pPr>
        <w:pStyle w:val="3"/>
      </w:pPr>
      <w:r>
        <w:t>参考文献与材料依据</w:t>
      </w:r>
    </w:p>
    <w:p w14:paraId="79F9B5EC">
      <w:pPr>
        <w:pStyle w:val="4"/>
      </w:pPr>
      <w:r>
        <w:t>本轮核对的一手文献入口</w:t>
      </w:r>
    </w:p>
    <w:p w14:paraId="015E98E7">
      <w:r>
        <w:t>[1] Guo et al. Sea-CLIP: Mining Semantic-Aware Representations for Few-Shot Anomaly Detection with CLIP. WACV 2026. 官方页面支持其结合 DINOv2 语义表征、CLIP 特征与异常匹配解码器的描述；具体交互对照是否出现仍待全文逐项核实。</w:t>
      </w:r>
    </w:p>
    <w:p w14:paraId="7324164C">
      <w:r>
        <w:fldChar w:fldCharType="begin"/>
      </w:r>
      <w:r>
        <w:instrText xml:space="preserve"> HYPERLINK "https://openaccess.thecvf.com/content/WACV2026/html/Guo_Sea-CLIP_Mining_Semantic-Aware_Representations_for_Few-Shot_Anomaly_Detection_with_CLIP_WACV_2026_paper.html" \h </w:instrText>
      </w:r>
      <w:r>
        <w:fldChar w:fldCharType="separate"/>
      </w:r>
      <w:r>
        <w:rPr>
          <w:rFonts w:ascii="Times New Roman" w:eastAsia="宋体"/>
        </w:rPr>
        <w:t>文献原文链接</w:t>
      </w:r>
      <w:r>
        <w:rPr>
          <w:rFonts w:ascii="Times New Roman" w:eastAsia="宋体"/>
        </w:rPr>
        <w:fldChar w:fldCharType="end"/>
      </w:r>
    </w:p>
    <w:p w14:paraId="32C5FC8D">
      <w:r>
        <w:t>[2] Damm et al. AnomalyDINO: Boosting Patch-Based Few-Shot Anomaly Detection with DINOv2. WACV 2025. 支持冻结视觉 patch 近邻方法及无需额外目标训练的定位。</w:t>
      </w:r>
    </w:p>
    <w:p w14:paraId="300E6BA6">
      <w:r>
        <w:fldChar w:fldCharType="begin"/>
      </w:r>
      <w:r>
        <w:instrText xml:space="preserve"> HYPERLINK "https://arxiv.org/abs/2405.14529" \h </w:instrText>
      </w:r>
      <w:r>
        <w:fldChar w:fldCharType="separate"/>
      </w:r>
      <w:r>
        <w:rPr>
          <w:rFonts w:ascii="Times New Roman" w:eastAsia="宋体"/>
        </w:rPr>
        <w:t>文献原文链接</w:t>
      </w:r>
      <w:r>
        <w:rPr>
          <w:rFonts w:ascii="Times New Roman" w:eastAsia="宋体"/>
        </w:rPr>
        <w:fldChar w:fldCharType="end"/>
      </w:r>
    </w:p>
    <w:p w14:paraId="21B50011">
      <w:r>
        <w:t>[3] Long et al. Revisiting Multimodal Fusion for 3D Anomaly Detection from an Architectural Perspective. arXiv:2412.17297, 2024. 研究 3D 多模态融合架构，并提出 3D-ADNAS；不应将其当作与本文完全同任务的二维固定视觉融合系统。</w:t>
      </w:r>
    </w:p>
    <w:p w14:paraId="36916CD6">
      <w:r>
        <w:fldChar w:fldCharType="begin"/>
      </w:r>
      <w:r>
        <w:instrText xml:space="preserve"> HYPERLINK "https://arxiv.org/abs/2412.17297" \h </w:instrText>
      </w:r>
      <w:r>
        <w:fldChar w:fldCharType="separate"/>
      </w:r>
      <w:r>
        <w:rPr>
          <w:rFonts w:ascii="Times New Roman" w:eastAsia="宋体"/>
        </w:rPr>
        <w:t>文献原文链接</w:t>
      </w:r>
      <w:r>
        <w:rPr>
          <w:rFonts w:ascii="Times New Roman" w:eastAsia="宋体"/>
        </w:rPr>
        <w:fldChar w:fldCharType="end"/>
      </w:r>
    </w:p>
    <w:p w14:paraId="18E21BF3">
      <w:r>
        <w:t>以上仅是提纲关键定位的核对入口，正式稿按首次引用重编参考文献号，扩充为老师要求的三类相关工作，不将三篇入口列表当作完整文献综述。</w:t>
      </w:r>
    </w:p>
    <w:p w14:paraId="75055706">
      <w:pPr>
        <w:pStyle w:val="4"/>
      </w:pPr>
      <w:r>
        <w:t>课堂与项目材料</w:t>
      </w:r>
    </w:p>
    <w:p w14:paraId="040520F3">
      <w:r>
        <w:fldChar w:fldCharType="begin"/>
      </w:r>
      <w:r>
        <w:instrText xml:space="preserve"> HYPERLINK "D:/STUDY/My_github/sci_project/docs/lesson_notes_20260912/DCFnet_课堂修改要求与执行清单_20260912_审核定稿版.md" \h </w:instrText>
      </w:r>
      <w:r>
        <w:fldChar w:fldCharType="separate"/>
      </w:r>
      <w:r>
        <w:rPr>
          <w:rFonts w:ascii="Times New Roman" w:eastAsia="宋体"/>
        </w:rPr>
        <w:t>完整课堂要求审核定稿版</w:t>
      </w:r>
      <w:r>
        <w:rPr>
          <w:rFonts w:ascii="Times New Roman" w:eastAsia="宋体"/>
        </w:rPr>
        <w:fldChar w:fldCharType="end"/>
      </w:r>
    </w:p>
    <w:p w14:paraId="3E6B2A2C">
      <w:r>
        <w:fldChar w:fldCharType="begin"/>
      </w:r>
      <w:r>
        <w:instrText xml:space="preserve"> HYPERLINK "D:/STUDY/My_github/sci_project/docs/lesson_notes_20260912/20260912_课堂逐字稿_腾讯会议自动转写.md" \h </w:instrText>
      </w:r>
      <w:r>
        <w:fldChar w:fldCharType="separate"/>
      </w:r>
      <w:r>
        <w:rPr>
          <w:rFonts w:ascii="Times New Roman" w:eastAsia="宋体"/>
        </w:rPr>
        <w:t>课堂逐字稿</w:t>
      </w:r>
      <w:r>
        <w:rPr>
          <w:rFonts w:ascii="Times New Roman" w:eastAsia="宋体"/>
        </w:rPr>
        <w:fldChar w:fldCharType="end"/>
      </w:r>
    </w:p>
    <w:p w14:paraId="4F0EC0C0">
      <w:r>
        <w:fldChar w:fldCharType="begin"/>
      </w:r>
      <w:r>
        <w:instrText xml:space="preserve"> HYPERLINK "D:/STUDY/My_github/sci_project/docs/manuscript_revision_20260905/00_两次课程要求汇总与论文生成计划.md" \h </w:instrText>
      </w:r>
      <w:r>
        <w:fldChar w:fldCharType="separate"/>
      </w:r>
      <w:r>
        <w:rPr>
          <w:rFonts w:ascii="Times New Roman" w:eastAsia="宋体"/>
        </w:rPr>
        <w:t>此前课程规范与原稿组织</w:t>
      </w:r>
      <w:r>
        <w:rPr>
          <w:rFonts w:ascii="Times New Roman" w:eastAsia="宋体"/>
        </w:rPr>
        <w:fldChar w:fldCharType="end"/>
      </w:r>
    </w:p>
    <w:p w14:paraId="360AB6B5">
      <w:r>
        <w:fldChar w:fldCharType="begin"/>
      </w:r>
      <w:r>
        <w:instrText xml:space="preserve"> HYPERLINK "D:/STUDY/My_github/sci_project/docs/manuscript_english_polished_20260906/DCFnet_English_Polished_20260906.docx" \h </w:instrText>
      </w:r>
      <w:r>
        <w:fldChar w:fldCharType="separate"/>
      </w:r>
      <w:r>
        <w:rPr>
          <w:rFonts w:ascii="Times New Roman" w:eastAsia="宋体"/>
        </w:rPr>
        <w:t>已完成英文初稿</w:t>
      </w:r>
      <w:r>
        <w:rPr>
          <w:rFonts w:ascii="Times New Roman" w:eastAsia="宋体"/>
        </w:rPr>
        <w:fldChar w:fldCharType="end"/>
      </w:r>
    </w:p>
    <w:p w14:paraId="727F21FB">
      <w:r>
        <w:fldChar w:fldCharType="begin"/>
      </w:r>
      <w:r>
        <w:instrText xml:space="preserve"> HYPERLINK "D:/STUDY/My_github/sci_project/docs/PAPER_OUTLINE_AND_STORY_SIMPLE_20260914_CN.md" \h </w:instrText>
      </w:r>
      <w:r>
        <w:fldChar w:fldCharType="separate"/>
      </w:r>
      <w:r>
        <w:rPr>
          <w:rFonts w:ascii="Times New Roman" w:eastAsia="宋体"/>
        </w:rPr>
        <w:t>你指定的简明提纲</w:t>
      </w:r>
      <w:r>
        <w:rPr>
          <w:rFonts w:ascii="Times New Roman" w:eastAsia="宋体"/>
        </w:rPr>
        <w:fldChar w:fldCharType="end"/>
      </w:r>
    </w:p>
    <w:p w14:paraId="3E310566">
      <w:r>
        <w:fldChar w:fldCharType="begin"/>
      </w:r>
      <w:r>
        <w:instrText xml:space="preserve"> HYPERLINK "D:/STUDY/My_github/sci_project/docs/AI_HANDOFF_REPRESENTATION_MATCHING_INTERACTION_AND_ACCEPTANCE_20260914_CN.md" \h </w:instrText>
      </w:r>
      <w:r>
        <w:fldChar w:fldCharType="separate"/>
      </w:r>
      <w:r>
        <w:rPr>
          <w:rFonts w:ascii="Times New Roman" w:eastAsia="宋体"/>
        </w:rPr>
        <w:t>最新交互研究交接</w:t>
      </w:r>
      <w:r>
        <w:rPr>
          <w:rFonts w:ascii="Times New Roman" w:eastAsia="宋体"/>
        </w:rPr>
        <w:fldChar w:fldCharType="end"/>
      </w:r>
    </w:p>
    <w:p w14:paraId="5BD1BCDE">
      <w:r>
        <w:fldChar w:fldCharType="begin"/>
      </w:r>
      <w:r>
        <w:instrText xml:space="preserve"> HYPERLINK "D:/STUDY/My_github/sci_project/docs/PROJECT_HANDOFF_AND_INNOVATION_STATUS_20260914_CN.md" \h </w:instrText>
      </w:r>
      <w:r>
        <w:fldChar w:fldCharType="separate"/>
      </w:r>
      <w:r>
        <w:rPr>
          <w:rFonts w:ascii="Times New Roman" w:eastAsia="宋体"/>
        </w:rPr>
        <w:t>此前证据审阅</w:t>
      </w:r>
      <w:r>
        <w:rPr>
          <w:rFonts w:ascii="Times New Roman" w:eastAsia="宋体"/>
        </w:rPr>
        <w:fldChar w:fldCharType="end"/>
      </w:r>
    </w:p>
    <w:p w14:paraId="16ED63D2">
      <w:r>
        <w:fldChar w:fldCharType="begin"/>
      </w:r>
      <w:r>
        <w:instrText xml:space="preserve"> HYPERLINK "D:/STUDY/My_github/sci_project/experiments/dynamic_fusion/paper_evidence_closeout_20260914/01_statistics/AGGREGATED_EFFECTS.csv" \h </w:instrText>
      </w:r>
      <w:r>
        <w:fldChar w:fldCharType="separate"/>
      </w:r>
      <w:r>
        <w:rPr>
          <w:rFonts w:ascii="Times New Roman" w:eastAsia="宋体"/>
        </w:rPr>
        <w:t>已修正成对效应汇总</w:t>
      </w:r>
      <w:r>
        <w:rPr>
          <w:rFonts w:ascii="Times New Roman" w:eastAsia="宋体"/>
        </w:rPr>
        <w:fldChar w:fldCharType="end"/>
      </w:r>
    </w:p>
    <w:p w14:paraId="0BEEA504">
      <w:r>
        <w:fldChar w:fldCharType="begin"/>
      </w:r>
      <w:r>
        <w:instrText xml:space="preserve"> HYPERLINK "D:/STUDY/My_github/sci_project/experiments/dynamic_fusion/representation_matching_interaction_20260914/00_protocol/S0_SUMMARY.json" \h </w:instrText>
      </w:r>
      <w:r>
        <w:fldChar w:fldCharType="separate"/>
      </w:r>
      <w:r>
        <w:rPr>
          <w:rFonts w:ascii="Times New Roman" w:eastAsia="宋体"/>
        </w:rPr>
        <w:t>交互研究新目录的几何阶段记录</w:t>
      </w:r>
      <w:r>
        <w:rPr>
          <w:rFonts w:ascii="Times New Roman" w:eastAsia="宋体"/>
        </w:rPr>
        <w:fldChar w:fldCharType="end"/>
      </w:r>
    </w:p>
    <w:p w14:paraId="5917450E">
      <w:r>
        <w:t>另参考同项目任务“探索项目创新优化方向”的最新主题讨论。本提纲优先采用最新交接和实际产物状态，不继续沿用 9 月 12 日清单中“第三分支尚未实现”的历史状态；课堂的真实性、格式和证据要求继续保留。</w:t>
      </w:r>
    </w:p>
    <w:sectPr>
      <w:headerReference r:id="rId5" w:type="default"/>
      <w:footerReference r:id="rId6" w:type="default"/>
      <w:pgSz w:w="11906" w:h="16838"/>
      <w:pgMar w:top="1134" w:right="1134" w:bottom="1134" w:left="1134" w:header="720"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5D54F">
    <w:pPr>
      <w:pStyle w:val="24"/>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53521">
    <w:pPr>
      <w:pStyle w:val="25"/>
    </w:pPr>
    <w:r>
      <w:rPr>
        <w:sz w:val="16"/>
      </w:rPr>
      <w:t>新增视觉表征与正常参考匹配  论文提纲  2026 年 9 月 14 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7227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220" w:after="120" w:line="264" w:lineRule="auto"/>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20" w:after="120" w:line="264"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20" w:after="120" w:line="264" w:lineRule="auto"/>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20" w:after="120" w:line="264" w:lineRule="auto"/>
      <w:outlineLvl w:val="3"/>
    </w:pPr>
    <w:rPr>
      <w:rFonts w:asciiTheme="majorHAnsi" w:hAnsiTheme="majorHAnsi" w:eastAsiaTheme="majorEastAsia" w:cstheme="majorBidi"/>
      <w:b/>
      <w:bCs/>
      <w:i/>
      <w:iCs/>
      <w:color w:val="000000"/>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120" w:line="264"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5074</Words>
  <Characters>5522</Characters>
  <Lines>0</Lines>
  <Paragraphs>0</Paragraphs>
  <TotalTime>69</TotalTime>
  <ScaleCrop>false</ScaleCrop>
  <LinksUpToDate>false</LinksUpToDate>
  <CharactersWithSpaces>5691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李越宁</cp:lastModifiedBy>
  <dcterms:modified xsi:type="dcterms:W3CDTF">2026-09-14T10:02:42Z</dcterms:modified>
  <dc:subject>新增视觉表征与正常参考匹配的交互研究</dc:subject>
  <dc:title>新主题论文详细提纲 导师审阅版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eyJoZGlkIjoiN2Y3NmM2MjEyOThmNDZmOWM0NGM2NGNlY2YzYTVjNjUiLCJ1c2VySWQiOiIxNzU0NDMwMjMzIn0=</vt:lpwstr>
  </property>
  <property fmtid="{D5CDD505-2E9C-101B-9397-08002B2CF9AE}" pid="3" name="KSOProductBuildVer">
    <vt:lpwstr>2052-12.1.0.28505</vt:lpwstr>
  </property>
  <property fmtid="{D5CDD505-2E9C-101B-9397-08002B2CF9AE}" pid="4" name="ICV">
    <vt:lpwstr>D8AD55E57AA542AE858301E40933D562_12</vt:lpwstr>
  </property>
</Properties>
</file>