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27A28">
      <w:pPr>
        <w:pStyle w:val="31"/>
      </w:pPr>
      <w:r>
        <w:t>正常参考匹配如何影响新增视觉表征的收益</w:t>
      </w:r>
    </w:p>
    <w:p w14:paraId="340684A4">
      <w:r>
        <w:t>少样本工业异常定位论文详细提纲　导师审阅版（更新版）　2026 年 9 月 14 日</w:t>
      </w:r>
    </w:p>
    <w:p w14:paraId="6DB6BECB">
      <w:r>
        <w:t>本稿沿用已完成英文初稿的“摘要—引言—相关工作—方法—实验设计与结果分析—结论—数据与代码—参考文献—补充材料”结构。研究内容更新为冻结多视觉编码器的固定融合，重点考察新增表征与正常参考匹配方式的关系。DCFnet 保留为既有双分支锚点方法的名称，不将全部研究变体重新命名为一个已经验证的新网络。</w:t>
      </w:r>
    </w:p>
    <w:p w14:paraId="7C1B1D2F">
      <w:pPr/>
      <w:r>
        <w:t>本轮更新说明（2026-09-14 收尾轮次）：直接交互、新编码器迁移验证、新分支全像素点估计、基线共同有效区域评价与主要统计修正均已完成。本版把原稿中「直接交互仍待统计验证」「主统计尚须按统一版本完成」等状态改为实际结果，并新增多视图邻域一致性相关工作、研究范围说明、编码器差值表与资源/发布限制。仍标注为计划或缺失的条目保持原样。</w:t>
      </w:r>
    </w:p>
    <w:p w14:paraId="7C1B1D2F">
      <w:r>
        <w:rPr>
          <w:b/>
        </w:rPr>
        <w:t>拟请老师重点审阅：这一具体研究问题及下面三项研究贡献能否形成论文主线。参考匹配的平均效应、新增表征与匹配方式的直接交互、新编码器迁移验证、新分支全像素点估计与基线共同有效区域评价均已完成；本版把原稿中「直接交互仍待统计验证」「主统计尚须按统一版本完成」等状态改为实际结果，并把仍属计划或缺失的条目单独列出，不以预期结果代替已完成发现。</w:t>
      </w:r>
      <w:r/>
    </w:p>
    <w:p w14:paraId="7B0819CC">
      <w:pPr>
        <w:pStyle w:val="3"/>
        <w:rPr>
          <w:vertAlign w:val="baseline"/>
        </w:rPr>
      </w:pPr>
      <w:r>
        <w:t>题目与论文主张</w:t>
      </w:r>
    </w:p>
    <w:p w14:paraId="239905C0">
      <w:r>
        <w:rPr>
          <w:b/>
        </w:rPr>
        <w:t>建议中文题目：</w:t>
      </w:r>
      <w:r>
        <w:t>少样本工业异常定位中新增视觉表征与正常参考匹配的交互研究。</w:t>
      </w:r>
    </w:p>
    <w:p w14:paraId="6CFA5727">
      <w:r>
        <w:rPr>
          <w:b/>
        </w:rPr>
        <w:t>英文工作题目：</w:t>
      </w:r>
      <w:r>
        <w:t>Interaction between Additional Visual Representations and Normal Reference Matching in Few-Shot Industrial Anomaly Localization.</w:t>
      </w:r>
    </w:p>
    <w:p w14:paraId="7E477867">
      <w:r>
        <w:t>题目用「交互研究」表达研究对象。现有结果显示交互方向为正，但方向与大小依赖数据与编码器条件，故采用该题目；若投稿时审稿意见要求更保守，可换成较宽且已有结果支撑的备选题目「少样本工业异常定位中固定多视觉分支融合的收益与局限」。最终题目随收口确认，不使用「最优融合」「性能上限」或未经核实的「首次」。</w:t>
      </w:r>
    </w:p>
    <w:p w14:paraId="3565B4B9">
      <w:r>
        <w:rPr>
          <w:b/>
        </w:rPr>
        <w:t>核心问题：</w:t>
      </w:r>
      <w:r>
        <w:t>加入一个视觉编码器时，额外表征的价值是否受到“各分支必须共用</w:t>
      </w:r>
      <w:r>
        <w:rPr>
          <w:b/>
          <w:bCs/>
          <w:color w:val="C00000"/>
        </w:rPr>
        <w:t>同一个正常参考 patch</w:t>
      </w:r>
      <w:r>
        <w:t>”这一约束影响？在权重、正常支持集和后处理一致的条件下，改变参考选择方式能否改变新增表征的收益？</w:t>
      </w:r>
    </w:p>
    <w:p w14:paraId="501629F7">
      <w:r>
        <w:rPr>
          <w:b/>
        </w:rPr>
        <w:t>论文论证顺序：</w:t>
      </w:r>
      <w:r>
        <w:t>明确参考选择约束 → 排除复制分支造成的权重变化 → 比较真实表征替换 → 直接估计表征与匹配的交互 → 检查参考数量、类别及编码器条件 → 通过成熟基线和计算成本解释实用价值。</w:t>
      </w:r>
    </w:p>
    <w:p w14:paraId="3A713FA0">
      <w:pPr>
        <w:pStyle w:val="3"/>
      </w:pPr>
      <w:r>
        <w:t>摘要 Abstract</w:t>
      </w:r>
      <w:bookmarkStart w:id="0" w:name="_GoBack"/>
      <w:bookmarkEnd w:id="0"/>
    </w:p>
    <w:p w14:paraId="2BCDBCFD">
      <w:pPr>
        <w:pStyle w:val="4"/>
      </w:pPr>
      <w:r>
        <w:t>摘要的段落结构</w:t>
      </w:r>
    </w:p>
    <w:p w14:paraId="684EB194">
      <w:r>
        <w:t>沿用原稿单段摘要的形式，按「应用背景—具体困难—研究设计—已知发现—意义」组织。本版摘要已填入实际结果与数字，并新增一段口径说明，明确数字来自步长 8 的像素 AP 统计、全像素评价只用于验证点估计方向。英文扩写控制在约 180—200 词，最终服从目标期刊要求；摘要不列全部变体名、seed 或统计实现细节；先解释任务，首次出现的缩写给全称。</w:t>
      </w:r>
    </w:p>
    <w:p w14:paraId="17977870">
      <w:pPr>
        <w:pStyle w:val="4"/>
      </w:pPr>
      <w:r>
        <w:t>中文摘要工作稿</w:t>
      </w:r>
    </w:p>
    <w:p w14:paraId="695C4835">
      <w:pPr>
        <w:rPr>
          <w:rFonts w:hint="eastAsia"/>
          <w:color w:val="C00000"/>
          <w:lang w:val="en-US" w:eastAsia="zh-CN"/>
        </w:rPr>
      </w:pPr>
      <w:r>
        <w:t>少样本工业异常定位利用少量正常参考图像识别待测图像中的异常区域。融合多个预训练视觉编码器能够利用不同表征，但新增分支通常同时改变三件事：一是有效权重，两分支等权时各占一半，加入第三分支后各占三分之一，原分支的影响被重新分配；二是被选中的正常参考，共同匹配需要兼顾所有分支，新分支加入后最合适的参考位置可能变化，而独立匹配允许各分支分别选择；三是最终收益，新信息是否有效与上述选择共同有关。需要强调，新增分支不必然改变「匹配规则」本身——共同或独立匹配是本文主动设置的对照，加入分支改变的是共同规则下被选中的参考。</w:t>
      </w:r>
      <w:r>
        <w:rPr>
          <w:rFonts w:hint="eastAsia"/>
          <w:lang w:eastAsia="zh-CN"/>
        </w:rPr>
      </w:r>
      <w:r>
        <w:rPr>
          <w:rFonts w:hint="eastAsia"/>
          <w:color w:val="C00000"/>
          <w:lang w:val="en-US" w:eastAsia="zh-CN"/>
        </w:rPr>
      </w:r>
    </w:p>
    <w:p w14:paraId="16F4A9D9">
      <w:r>
        <w:rPr>
          <w:rFonts w:hint="eastAsia"/>
          <w:lang w:eastAsia="zh-CN"/>
        </w:rPr>
        <w:t>本文围绕新增视觉表征与参考匹配方式的关系开展受控研究，在冻结编码器、共享正常支持集和一致评分流程下，构建复制分支、表征替换和家族总权重保持对照，并比较共同参考匹配（J）与独立参考匹配（L）；进一步通过两种匹配方式下表征替换效应的差值，直接估计两者的交互。实验结果表明，新增视觉表征的收益与参考匹配方式存在条件性交互。引入 DINOv2-S 时，两种公平对照在 MPDD 上的交互效应分别为 0.77 和 0.60 个像素 AP 百分点，经多重比较调整（Bonferroni 98.75% 家族区间）后区间均不含零，而在 BTAD 上未检出明确交互。引入预先指定的 WideResNet50-2 分支后，两个数据集的四项交互效应均为正，点估计为 0.50—0.97 个像素 AP 百分点，全像素评价的点估计保持同向。上述结果说明，分支数量本身不足以解释融合收益，参考匹配方式的作用依赖所采用的视觉表征与数据条件，为少量正常参考下的固定融合设计提供了可复核的经验依据。</w:t>
      </w:r>
      <w:r/>
    </w:p>
    <w:p w14:paraId="5D2EA5C0">
      <w:r>
        <w:t>口径与措辞说明（投稿前必须保留在正文与摘要注）：上述 0.77 / 0.60 与 0.50—0.97 个像素 AP 百分点来自步长 8 的像素 AP 统计；全像素（步长 1）评价只用于验证点估计方向，不能写成「全像素下均显著」，也不能把「百分点」替换成整体模型的「准确率提升」。DINOv2-S 一行的绝对正收益尚不明确：其独立匹配下的表征效应点估计为正但区间含零（MPDD 上 E_TRI_L +0.548 个百分点，95% 区间 [−0.092, +1.159]），因此摘要只说「交互」，不说「新增分支带来提升」。代码地址在正式项目命名与可访问性核验后补入。</w:t>
      </w:r>
    </w:p>
    <w:p w14:paraId="2ECC6B5B">
      <w:r>
        <w:rPr>
          <w:b/>
        </w:rPr>
        <w:t>关键词：</w:t>
      </w:r>
      <w:r>
        <w:t>少样本工业异常定位；冻结视觉编码器；正常参考匹配；固定融合；表征交互。</w:t>
      </w:r>
    </w:p>
    <w:p w14:paraId="4524BC91">
      <w:pPr>
        <w:pStyle w:val="3"/>
      </w:pPr>
      <w:r>
        <w:t>1 引言 Introduction</w:t>
      </w:r>
    </w:p>
    <w:p w14:paraId="2E3F380F">
      <w:pPr>
        <w:pStyle w:val="4"/>
      </w:pPr>
      <w:r>
        <w:t>1.1 应用背景与少样本约束</w:t>
      </w:r>
    </w:p>
    <w:p w14:paraId="202EB7C0">
      <w:r>
        <w:t>第一段说明工业质检中新品类缺陷标注难以获得、正常样本也可能有限的实际场景。明确本文的 few-shot 是每类仅有少量正常参考图，目标同时包括图像级异常判断与像素级定位；正文以像素定位为主要分析对象。</w:t>
      </w:r>
    </w:p>
    <w:p w14:paraId="676B10F8">
      <w:r>
        <w:t>第二段介绍冻结预训练视觉表征和正常记忆库的优势：无需目标域训练，可以从正常局部外观构造参照。自然引出多编码器融合的动机，但不先验指定某个分支专门负责纹理、结构或语义，这种功能分工需要独立证据。</w:t>
      </w:r>
    </w:p>
    <w:p w14:paraId="111BADD1">
      <w:pPr>
        <w:pStyle w:val="4"/>
      </w:pPr>
      <w:r>
        <w:t>1.2 从分支数量转向收益来源</w:t>
      </w:r>
    </w:p>
    <w:p w14:paraId="6D319373">
      <w:r>
        <w:t>第三段指出：双分支变为三分支不仅增加一个模型，还可能改变原分支的总权重。若各分支共同选取一个参考 patch，新分支也参与决定匹配对象。因而直接比较两支与三支的指标，不能单独回答「新视觉信息有没有帮助」。本项目用一个复制分支的对照直接展示了这一混淆：把 A1 的 C 权重拿出一半给 B 的复制分支（DUP），在步长 8 的共同匹配下 MPDD 与 BTAD 的宏像素 AP 分别下降约 0.802 与 0.959 个百分点，独立匹配下分别下降约 1.099 与 1.205 个百分点（8—12 个条件上的点估计均值），说明仅改变比重也可能使结果下降。</w:t>
      </w:r>
    </w:p>
    <w:p w14:paraId="6B20BBEC">
      <w:r>
        <w:t>第四段提出更具体的困难：不同编码器对正常局部相似性的判断可能不一致。共同匹配要求它们在一个参考位置上达成折中，独立匹配则允许每支保留自己的最近参考。两者的分数差异是数学上的约束差，而定位性能取决于正常与异常区域的排序，不能直接从距离大小推出。需要把「匹配规则」与「规则下选中的参考」分开：J/L 是本文主动设置的对照，加入第三个分支不会改变规则本身，改变的是共同规则下被选中的参考行，以及各分支的有效权重。</w:t>
      </w:r>
    </w:p>
    <w:p w14:paraId="75D2A3B8">
      <w:pPr>
        <w:pStyle w:val="4"/>
      </w:pPr>
      <w:r>
        <w:t>1.3 研究空白与本文定位</w:t>
      </w:r>
    </w:p>
    <w:p w14:paraId="1AAC92D9">
      <w:r>
        <w:rPr>
          <w:b/>
        </w:rPr>
        <w:t>建议写入引言的空白陈述：</w:t>
      </w:r>
      <w:r>
        <w:t>现有预训练特征与融合研究已经建立了多种有效的异常检测系统。然而，某一融合系统的整体性能不能直接区分新增表征、有效权重与参考选择约束各自的作用。本文聚焦一个更具体的问题：在固定权重与正常支持条件下，新增表征的定位收益是否随共同或独立参考匹配而改变，并进一步考察这种关系在参考数量和类别条件下的稳定性。</w:t>
      </w:r>
    </w:p>
    <w:p w14:paraId="3F443B0A">
      <w:r>
        <w:t>这段陈述将空白落在可检验的关系上，而非宣称此前无人融合 CLIP 与 DINOv2。Sea-CLIP 已利用二者进行异常匹配与预测细化；AnomalyDINO 已建立无需目标训练的视觉 patch 近邻检测方法；另有研究从架构角度分析 3D 多模态异常融合。[文献 1—3] 本文需在这些工作基础上说明分析对象、控制变量和估计量的区别。最终“尚未系统研究”的程度仍须逐篇正文核查，当前不使用排他性的首次主张。</w:t>
      </w:r>
    </w:p>
    <w:p w14:paraId="07F1369C">
      <w:pPr>
        <w:pStyle w:val="4"/>
      </w:pPr>
      <w:r>
        <w:t>1.4 研究问题与整体思路</w:t>
      </w:r>
    </w:p>
    <w:p w14:paraId="2D78842C">
      <w:r>
        <w:rPr>
          <w:b/>
        </w:rPr>
        <w:t>RQ1 权重与表征。</w:t>
      </w:r>
      <w:r>
        <w:t>复制已有分支造成的有效权重变化，与引入真实新编码器的变化是否不同？</w:t>
      </w:r>
    </w:p>
    <w:p w14:paraId="46CC5F8C">
      <w:r>
        <w:rPr>
          <w:b/>
        </w:rPr>
        <w:t>RQ2 核心交互。</w:t>
      </w:r>
      <w:r>
        <w:t>在相同表征替换和固定权重下，共同与独立参考匹配是否产生不同的替换收益？</w:t>
      </w:r>
    </w:p>
    <w:p w14:paraId="098E3355">
      <w:r>
        <w:rPr>
          <w:b/>
        </w:rPr>
        <w:t>RQ3 条件与价值。</w:t>
      </w:r>
      <w:r>
        <w:t>上述效应在不同 K、类别和预先指定的编码器组合下是否稳定，其收益是否值得增加的计算成本？</w:t>
      </w:r>
    </w:p>
    <w:p w14:paraId="53622448">
      <w:r>
        <w:t>RQ1 为 RQ2 排除权重混淆，RQ3 用于界定 RQ2 的范围。三者围绕一个问题，不写成互不关联的五条探索路线。引言不展开详细数据表和统计代码，相关协议放入第 4 节。</w:t>
      </w:r>
    </w:p>
    <w:p w14:paraId="7BC40F2F">
      <w:pPr>
        <w:pStyle w:val="4"/>
      </w:pPr>
      <w:r>
        <w:t>1.5 Contribution 详细审阅稿</w:t>
      </w:r>
    </w:p>
    <w:p w14:paraId="666DE4A4">
      <w:r>
        <w:rPr>
          <w:b/>
        </w:rPr>
        <w:t>贡献一　建立参考选择约束的统一分析表述。</w:t>
      </w:r>
      <w:r>
        <w:t>本文将固定多视觉分支融合中的正常参考选择显式建模为共同匹配与独立匹配两种形式，在相同正常支持集、分支特征、距离定义和固定权重下，分离“融合哪些描述信息”与“如何选择正常参照”两个设计因素。通过共同匹配分数、独立匹配分数及其约束差，明确跨分支共享参考位置所施加的限制，并区分分数变化与定位收益。这一分析使原先笼统的联合特征检索与分数融合比较，转化为可追踪到参考 patch 的具体研究对象，为后续分析新增表征的作用提供统一基础。</w:t>
      </w:r>
    </w:p>
    <w:p w14:paraId="454BDD0D">
      <w:r>
        <w:rPr>
          <w:b/>
        </w:rPr>
        <w:t>贡献二　构建隔离有效权重与新增表征的交互识别设计。</w:t>
      </w:r>
      <w:r>
        <w:t>针对增加分支时模型数量、已有分支权重和新信息同时变化的问题，本文以双分支构造为锚点，设置不增加新信息的复制分支对照、用真实新编码器替换复制分支的对照，以及保持 DINO 家族与另一分支总权重的补充对照。在每种构造上分别采用共同与独立匹配，通过同一表征替换在两种匹配规则下的效应差，直接刻画新增表征与参考匹配的交互。这一设计回答的不只是某个三分支系统是否更好，而是新增表征的价值是否受到匹配约束影响，并避免把权重重分配误当成新信息的贡献。</w:t>
      </w:r>
    </w:p>
    <w:p w14:paraId="5534A211">
      <w:r>
        <w:rPr>
          <w:b/>
        </w:rPr>
        <w:t>贡献三　形成固定融合收益具有条件性的实证认识。在少量正常参考和冻结编码器设置中，本文观察到独立参考匹配具有较稳定的平均定位优势（A1 上 MPDD +0.637、BTAD +0.915 个百分点，配对区间不含零），而新增视觉分支的收益依数据与构造而异：DINOv2-S 在 BTAD 上有明确新增收益、在 MPDD 上只有「损失更小」的相对改善；预先指定的 WideResNet50-2 分支则在两个数据集上都带来正收益。本文进一步以直接交互、嵌套参考数量、逐类差异与失败案例界定这一现象，区分「新表征总体有用」与「其收益依赖匹配方式」两个不同判断。最终目标是形成有适用条件的融合选择依据：在扩大编码器集合前，先检验有效权重与参考选择是否限制了新表征发挥作用。</w:t>
      </w:r>
      <w:r/>
    </w:p>
    <w:p w14:paraId="6790138D">
      <w:r>
        <w:rPr>
          <w:b/>
        </w:rPr>
        <w:t>贡献末尾的验证说明：</w:t>
      </w:r>
      <w:r>
        <w:t>为支撑上述分析，论文报告 MPDD 与 BTAD 上的固定条件比较、完整定位指标、配对不确定性和类别分析，并结合成熟方法配置参照及资源测量检验其实际意义。实验规模与评价流程用于支持前三项贡献，不单独包装为第四个方法创新。</w:t>
      </w:r>
    </w:p>
    <w:p w14:paraId="330C2A8F">
      <w:pPr>
        <w:pStyle w:val="4"/>
      </w:pPr>
      <w:r>
        <w:t>1.6 三项贡献的创新依据与当前证据</w:t>
      </w:r>
    </w:p>
    <w:p w14:paraId="471F28C0">
      <w:r>
        <w:rPr>
          <w:b/>
        </w:rPr>
        <w:t>贡献一的价值与边界。</w:t>
      </w:r>
      <w:r>
        <w:t>价值是把参考选择约束作为独立研究维度，并为观察到的现象建立一致解释语言；不是发明最小值运算、余弦距离或独立最近邻。共同与独立匹配的基本不等式属于已知代数事实，不能写成原创定理。对应第 3.3 节及图 2。</w:t>
      </w:r>
    </w:p>
    <w:p w14:paraId="1DDC9958">
      <w:r>
        <w:rPr>
          <w:b/>
        </w:rPr>
        <w:t>贡献二的价值与边界。价值是针对本任务的混淆因素构造公平的表征替换与直接交互比较；不是提出新的统计学差分估计器。A1、DUP、TRI、BAL 的 J/L 主矩阵已经产出，直接交互区间与几何修正版本下的验证也已完成（见第 4.2.4 节）。正文可写清研究设计并给出条件性结论：MPDD 上交互为正且区间不含零，BTAD 上未检出，因此不得写成「已证明共同匹配抑制新信息」这类普遍陈述。对应第 3.4—3.5 节及第 4.2.2—4.2.4 节。</w:t>
      </w:r>
      <w:r/>
    </w:p>
    <w:p w14:paraId="0A1C8325">
      <w:r>
        <w:rPr>
          <w:b/>
        </w:rPr>
        <w:t>贡献三的价值与边界。价值来自条件性认识及可追溯反例，而非「做了很多实验」。当前最稳定的证据是匹配规则的平均效应；新增表征的条件差异已由直接交互量化，并已扩展到第二个编码器组合（预先指定的WideResNet50-2，覆盖 seed 0/1 与 K 1/4）。直接检验两个编码器交互的差值显示：BTAD 上差异显著（+0.603 与 +0.576 个百分点，区间不含零），MPDD 上两者不可区分，因此只能写「依赖编码器与数据条件」，不能写新编码器整体更优。实用选择依据在资源与基线比较后限定，不提前写成普遍算法准则。</w:t>
      </w:r>
      <w:r/>
    </w:p>
    <w:p w14:paraId="1C2DF8AE">
      <w:r>
        <w:rPr>
          <w:b/>
        </w:rPr>
        <w:t>与老师原先意见的衔接。原稿希望形成「框架与模块」的贡献结构，但现阶段没有三个独立、原创且已验证的新网络模块。本提纲按最新主题提出「分析表述—交互识别—条件性发现」三项研究贡献，并让每项对应明确技术内容与证据。需要向老师明确：共同/独立参考这一操作本身在多视图异常检测中已是被研究对象（SCoNE、MUVAD、NC-Nets），本文的增量在设定、分离方式与估计形式，不在操作首创。若目标期刊或老师仍要求新模块，需要在该研究问题下验证新的技术方案，不能把 ROI、DYT 或现有归一化操作换名后充作已完成创新。</w:t>
      </w:r>
      <w:r/>
    </w:p>
    <w:p w14:paraId="4BE2507F">
      <w:pPr>
        <w:pStyle w:val="3"/>
      </w:pPr>
      <w:r>
        <w:t>2 相关工作 Related Work</w:t>
      </w:r>
    </w:p>
    <w:p w14:paraId="4A4C7617">
      <w:r>
        <w:t>沿用老师要求的「总述—四类工作—跨类总结」，正式稿相关工作约 25—28 篇、全文约 30—35 篇，近三年文献占比争取达到约 70%。这些是写作规模目标，优先保证相关性和一手来源，不以数量填充。最终引用按首次出现排序。新增的第四类工作是多视图邻域一致性，用于避免只依据工业检测文献判断新颖性。</w:t>
      </w:r>
    </w:p>
    <w:p w14:paraId="6B59594F">
      <w:pPr>
        <w:pStyle w:val="4"/>
      </w:pPr>
      <w:r>
        <w:t>2.1 基于重建与单类建模的异常检测</w:t>
      </w:r>
    </w:p>
    <w:p w14:paraId="1FD525F2">
      <w:r>
        <w:t>概括重建误差、正常分布与单类建模的基本思路，说明其训练或适配需求。与本文的联系是“如何定义正常”，区别在于本文固定预训练编码器并采用正常参考检索。本小节只保留建立背景所需的代表工作，不让与核心匹配问题较远的方法占据大量篇幅。</w:t>
      </w:r>
    </w:p>
    <w:p w14:paraId="3B388EB3">
      <w:pPr>
        <w:pStyle w:val="4"/>
      </w:pPr>
      <w:r>
        <w:t>2.2 基于特征与正常记忆库的少样本检测</w:t>
      </w:r>
    </w:p>
    <w:p w14:paraId="53C5CC61">
      <w:r>
        <w:t>介绍 PatchCore 类正常特征记忆方法及 AnomalyDINO 类冻结视觉表征方法，关注参考覆盖、patch 近邻、预处理与异常分数形成。说明正常支持图数量、候选参考行和检索过程对本文问题的重要性。完整基线方法与受控单编码器管线应分开描述，不能混称。</w:t>
      </w:r>
    </w:p>
    <w:p w14:paraId="708EA11A">
      <w:pPr>
        <w:pStyle w:val="4"/>
      </w:pPr>
      <w:r>
        <w:t>2.3 基础模型与多分支融合</w:t>
      </w:r>
    </w:p>
    <w:p w14:paraId="2B9925E6">
      <w:r>
        <w:t>围绕预训练视觉或视觉语言模型、特征层融合、分数层融合与学习型匹配展开。重点阅读与 CLIP/DINO 组合、跨分支匹配或融合架构最接近的研究。Sea-CLIP 的语义表征与匹配解码器、3D-ADNAS 的多模态架构搜索，说明组合及融合结构本身已有研究基础；其任务和目标也不能直接等同于本文的冻结二维视觉检索对照。[文献 1、3]</w:t>
      </w:r>
    </w:p>
    <w:p w14:paraId="038C1274">
      <w:pPr>
        <w:pStyle w:val="4"/>
      </w:pPr>
      <w:r>
        <w:t>2.4 多视图邻域一致性与跨视图匹配</w:t>
      </w:r>
    </w:p>
    <w:p w14:paraId="038C1274">
      <w:pPr/>
      <w:r>
        <w:t>多视图与多模态学习中的一条主线是「跨视图一致的邻域」与「各视图独立邻域」的取舍。SCoNE（AAAI-26）把多视图异常检测的核心问题直接表述为「跨所有视图一致地表示正常实例的局部邻域」，并指出既有做法先在每个视图内独立表示局部邻域、再通过学习过程捕捉跨视图一致邻居，而这在同一个邻居处于不同视图的不同密度区域时并无保证；SCoNE 改为直接用多视图实例表示一致邻域。MUVAD（AAAI-19）以最近邻为基础区分「跨视图不一致」与「各视图一致异常」两类异常，并显式估计正常实例集合。NC-Nets（AAAI-21）与 ECMOD（DASFAA-23）则把各视图的邻域结构统一为一致的（共识）邻域结构。</w:t>
      </w:r>
    </w:p>
    <w:p w14:paraId="038C1274">
      <w:pPr/>
      <w:r>
        <w:t>这一条线对本稿的意义是限定性的：共同/独立参考邻域的选择本身不是本文首创。本文与该线的差别在于任务与输入（冻结预训练编码器、每类少量正常参考、像素级工业定位，而非无标注多视图数据上的离群检测）、分析对象（把有效权重与新增表征分离，并显式区分「匹配规则」与「规则下选中的参考」），以及证据形式（对「匹配方式 × 新增分支」给出带重复种子、配对重采样区间与家族校正的直接交互估计）。写作时必须先引用这条线，再说明增量，不得仅依据工业检测领域的若干论文宣称匹配思想首创。</w:t>
      </w:r>
    </w:p>
    <w:p w14:paraId="038C1274">
      <w:pPr>
        <w:pStyle w:val="4"/>
      </w:pPr>
      <w:r>
        <w:t>2.5 跨类总结与差异核查</w:t>
      </w:r>
    </w:p>
    <w:p w14:paraId="7895C14E">
      <w:r>
        <w:t>本段是跨类总结，不另立方法类目。按任务输入、是否目标训练、融合层级、是否强制共用正常参考行、是否控制有效权重、是否直接检验表征与匹配交互、是否分析支持预算逐项比较。对尚未读到相关正文的项记为待核实，不填「没有」。</w:t>
      </w:r>
    </w:p>
    <w:p w14:paraId="5A93085B">
      <w:r>
        <w:t>本轮已核对的关键一手入口包括 Sea-CLIP、AnomalyDINO、3D-ADNAS、M3DM、CIF，以及多视图异常检测的SCoNE（AAAI-26）、MUVAD（AAAI-19）、NC-Nets（AAAI-21）与 ECMOD（DASFAA-23）。结论是：「跨视图一致的邻域」与「各视图独立邻域」之间的取舍已是多视图异常检测的核心问题之一，因此共同/独立参考这一操作本身不能作为本文首创；旧材料中 CIF 的身份与部分 Sea-CLIP 判断有误，不再沿用原差异表的 yes/no 结论。</w:t>
      </w:r>
    </w:p>
    <w:p w14:paraId="60F0B5B8">
      <w:pPr>
        <w:pStyle w:val="3"/>
      </w:pPr>
      <w:r>
        <w:t>3 研究框架与方法 Framework and Methods</w:t>
      </w:r>
    </w:p>
    <w:p w14:paraId="0366A5D7">
      <w:r>
        <w:t>本节沿用原稿 3.1—3.7 的组织形式，用新的匹配问题替换原来的双编码器模块叙述。总体流程说明共用系统，实验中的三分支构造放入受控设计小节，不暗示存在一个已确定最优的三分支新网络。</w:t>
      </w:r>
    </w:p>
    <w:p w14:paraId="55545188">
      <w:pPr>
        <w:pStyle w:val="4"/>
      </w:pPr>
      <w:r>
        <w:t>3.1 问题定义 Problem Statement</w:t>
      </w:r>
    </w:p>
    <w:p w14:paraId="6A2FB60C">
      <w:r>
        <w:t>输入为某一类别的 K 张正常支持图与一张待测图像。支持图仅用于建立正常参考库；测试标签只用于离线评价，不参与权重选择、参考选择或推理路由。类别、支持样本、查询 patch、参考 patch 和分支索引分别定义，避免同一个字母兼指分支、分数与空间集合。</w:t>
      </w:r>
    </w:p>
    <w:p w14:paraId="74D7A5A3">
      <w:r>
        <w:t>原生输出为像素异常分数图及图像级异常分数，不输出缺陷类别。图中按课堂要求展示同一待测图的热图和预测轮廓；轮廓单列为可视化后处理，阈值规则需说明，不使用真实标注轮廓冒充预测。</w:t>
      </w:r>
    </w:p>
    <w:p w14:paraId="4F9696B1">
      <w:r>
        <w:rPr>
          <w:b/>
        </w:rPr>
        <w:t>符号约定：</w:t>
      </w:r>
      <w:r>
        <w:t>沿用原稿的正常支持集、输入图像和类别符号；新增 B、S、C 作为编码器标签，J、L 作为匹配规则标签，G 表示约束分数差。宏平均像素 AP 记为 P，作为性能函数使用，不能与 patch 位置总数同符号。正式写作先建立符号表，再统一图片；本提纲的实验标签不视为已经冻结的数学字体。</w:t>
      </w:r>
    </w:p>
    <w:p w14:paraId="0D759D34">
      <w:pPr>
        <w:pStyle w:val="4"/>
      </w:pPr>
      <w:r>
        <w:t>3.2 总体结构与检测流程 Overview</w:t>
      </w:r>
    </w:p>
    <w:p w14:paraId="5E1C8FA0">
      <w:r>
        <w:t>上路由多张同类正常支持图经过冻结编码器与坐标对齐，建立带共同参考行身份的分支记忆库；下路对查询图执行相同特征变换，读取固定记忆库，经固定权重与指定匹配规则得到局部分数，再恢复到评价画布并平滑。库在查询时不更新。</w:t>
      </w:r>
    </w:p>
    <w:p w14:paraId="5B9507B3">
      <w:r>
        <w:t>主图突出两层信息：实际检测路径与本文研究的可控因素。实际路径保持清楚，研究因素用简洁的旁注或子面板表示“权重”“表征替换”“匹配规则”。三分支不画成在推理时动态增减；DUP 也不画成训练了一个新模型。</w:t>
      </w:r>
    </w:p>
    <w:p w14:paraId="69D178C4">
      <w:pPr>
        <w:pStyle w:val="4"/>
      </w:pPr>
      <w:r>
        <w:t>3.3 冻结表征与参考匹配形式</w:t>
      </w:r>
    </w:p>
    <w:p w14:paraId="2C703D5F">
      <w:r>
        <w:t>B 为 DINOv2-B，S 为 DINOv2-S，C 为 AnomalyCLIP 的视觉特征，三者均为视觉分支。C 的预训练来源与 VisA 有关，需要披露；不将其描述为从未接触工业数据的纯通用编码器。分支采用各自已审计的特征层和预处理，并映射到共同网格，逐位置归一化。</w:t>
      </w:r>
    </w:p>
    <w:p w14:paraId="52AD3CC5">
      <w:r>
        <w:t>共同参考行 r 同时标识支持图像及其对齐网格位置。不同分支在该行保存各自特征，特征维度可以不同。令 q 为查询 patch，</w:t>
      </w:r>
      <m:oMath>
        <m:sSub>
          <m:sSubPr/>
          <m:e>
            <m:r>
              <m:rPr/>
              <w:rPr>
                <w:rFonts w:ascii="Cambria Math" w:hAnsi="Cambria Math"/>
              </w:rPr>
              <m:t>d</m:t>
            </m:r>
          </m:e>
          <m:sub>
            <m:r>
              <m:rPr/>
              <w:rPr>
                <w:rFonts w:ascii="Cambria Math" w:hAnsi="Cambria Math"/>
              </w:rPr>
              <m:t>b</m:t>
            </m:r>
          </m:sub>
        </m:sSub>
        <m:r>
          <m:rPr/>
          <w:rPr>
            <w:rFonts w:ascii="Cambria Math" w:hAnsi="Cambria Math"/>
          </w:rPr>
          <m:t>(q,r)</m:t>
        </m:r>
      </m:oMath>
      <w:r>
        <w:t xml:space="preserve"> 为分支 b 的非负距离，</w:t>
      </w:r>
      <m:oMath>
        <m:sSub>
          <m:sSubPr/>
          <m:e>
            <m:r>
              <m:rPr/>
              <w:rPr>
                <w:rFonts w:ascii="Cambria Math" w:hAnsi="Cambria Math"/>
              </w:rPr>
              <m:t>w</m:t>
            </m:r>
          </m:e>
          <m:sub>
            <m:r>
              <m:rPr/>
              <w:rPr>
                <w:rFonts w:ascii="Cambria Math" w:hAnsi="Cambria Math"/>
              </w:rPr>
              <m:t>b</m:t>
            </m:r>
          </m:sub>
        </m:sSub>
      </m:oMath>
      <w:r>
        <w:t xml:space="preserve"> 为固定非负权重，权重和为 1。</w:t>
      </w:r>
    </w:p>
    <w:p w14:paraId="1E16C979">
      <w:pPr>
        <w:jc w:val="center"/>
      </w:pPr>
      <m:oMath>
        <m:r>
          <m:rPr/>
          <w:rPr>
            <w:rFonts w:ascii="Cambria Math" w:hAnsi="Cambria Math"/>
          </w:rPr>
          <m:t>J(q) =</m:t>
        </m:r>
        <m:limLow>
          <m:limLowPr/>
          <m:e>
            <m:r>
              <m:rPr>
                <m:sty m:val="p"/>
              </m:rPr>
              <w:rPr>
                <w:rFonts w:ascii="Cambria Math" w:hAnsi="Cambria Math"/>
              </w:rPr>
              <m:t>min</m:t>
            </m:r>
          </m:e>
          <m:lim>
            <m:r>
              <m:rPr/>
              <w:rPr>
                <w:rFonts w:ascii="Cambria Math" w:hAnsi="Cambria Math"/>
              </w:rPr>
              <m:t>r</m:t>
            </m:r>
          </m:lim>
        </m:limLow>
        <m:nary>
          <m:naryPr>
            <m:chr m:val="∑"/>
            <m:supHide m:val="1"/>
          </m:naryPr>
          <m:sub>
            <m:r>
              <m:rPr/>
              <w:rPr>
                <w:rFonts w:ascii="Cambria Math" w:hAnsi="Cambria Math"/>
              </w:rPr>
              <m:t>b</m:t>
            </m:r>
          </m:sub>
          <m:sup/>
          <m:e>
            <m:sSub>
              <m:sSubPr/>
              <m:e>
                <m:r>
                  <m:rPr/>
                  <w:rPr>
                    <w:rFonts w:ascii="Cambria Math" w:hAnsi="Cambria Math"/>
                  </w:rPr>
                  <m:t>w</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(q,r)</m:t>
            </m:r>
          </m:e>
        </m:nary>
      </m:oMath>
      <w:r>
        <w:t xml:space="preserve">    (1)</w:t>
      </w:r>
    </w:p>
    <w:p w14:paraId="35A9529D">
      <w:pPr>
        <w:jc w:val="center"/>
      </w:pPr>
      <m:oMath>
        <m:r>
          <m:rPr/>
          <w:rPr>
            <w:rFonts w:ascii="Cambria Math" w:hAnsi="Cambria Math"/>
          </w:rPr>
          <m:t>L(q) =</m:t>
        </m:r>
        <m:nary>
          <m:naryPr>
            <m:chr m:val="∑"/>
            <m:supHide m:val="1"/>
          </m:naryPr>
          <m:sub>
            <m:r>
              <m:rPr/>
              <w:rPr>
                <w:rFonts w:ascii="Cambria Math" w:hAnsi="Cambria Math"/>
              </w:rPr>
              <m:t>b</m:t>
            </m:r>
          </m:sub>
          <m:sup/>
          <m:e>
            <m:sSub>
              <m:sSubPr/>
              <m:e>
                <m:r>
                  <m:rPr/>
                  <w:rPr>
                    <w:rFonts w:ascii="Cambria Math" w:hAnsi="Cambria Math"/>
                  </w:rPr>
                  <m:t>w</m:t>
                </m:r>
              </m:e>
              <m:sub>
                <m:r>
                  <m:rPr/>
                  <w:rPr>
                    <w:rFonts w:ascii="Cambria Math" w:hAnsi="Cambria Math"/>
                  </w:rPr>
                  <m:t>b</m:t>
                </m:r>
              </m:sub>
            </m:sSub>
            <m:limLow>
              <m:limLowPr/>
              <m:e>
                <m:r>
                  <m:rPr>
                    <m:sty m:val="p"/>
                  </m:rPr>
                  <w:rPr>
                    <w:rFonts w:ascii="Cambria Math" w:hAnsi="Cambria Math"/>
                  </w:rPr>
                  <m:t>min</m:t>
                </m:r>
              </m:e>
              <m:lim>
                <m:r>
                  <m:rPr/>
                  <w:rPr>
                    <w:rFonts w:ascii="Cambria Math" w:hAnsi="Cambria Math"/>
                  </w:rPr>
                  <m:t>r</m:t>
                </m:r>
              </m:lim>
            </m:limLow>
            <m:sSub>
              <m:sSubPr/>
              <m:e>
                <m:r>
                  <m:rPr/>
                  <w:rPr>
                    <w:rFonts w:ascii="Cambria Math" w:hAnsi="Cambria Math"/>
                  </w:rPr>
                  <m:t>d</m:t>
                </m:r>
              </m:e>
              <m:sub>
                <m:r>
                  <m:rPr/>
                  <w:rPr>
                    <w:rFonts w:ascii="Cambria Math" w:hAnsi="Cambria Math"/>
                  </w:rPr>
                  <m:t>b</m:t>
                </m:r>
              </m:sub>
            </m:sSub>
            <m:r>
              <m:rPr/>
              <w:rPr>
                <w:rFonts w:ascii="Cambria Math" w:hAnsi="Cambria Math"/>
              </w:rPr>
              <m:t>(q,r)</m:t>
            </m:r>
          </m:e>
        </m:nary>
      </m:oMath>
      <w:r>
        <w:t xml:space="preserve">    (2)</w:t>
      </w:r>
    </w:p>
    <w:p w14:paraId="6FC1D610">
      <w:pPr>
        <w:jc w:val="center"/>
      </w:pPr>
      <m:oMath>
        <m:r>
          <m:rPr/>
          <w:rPr>
            <w:rFonts w:ascii="Cambria Math" w:hAnsi="Cambria Math"/>
          </w:rPr>
          <m:t>G(q) = J(q) − L(q) ≥ 0</m:t>
        </m:r>
      </m:oMath>
      <w:r>
        <w:t xml:space="preserve">    (3)</w:t>
      </w:r>
    </w:p>
    <w:p w14:paraId="4329A353">
      <w:r>
        <w:t>J 要求各分支使用同一参考行，L 允许每支使用自己的参考行。相同候选集合且权重非负时，G 非负；若各支存在共同的最优参考行，则约束差为零。应把这个事实用于解释约束，而非命名为新定理。此外必须说明：把「跨视图一致邻域」与「各视图独立邻域」并列考察本身在多视图异常检测中已有研究（SCoNE 将其写成该方向的核心问题，MUVAD 区分跨视图一致与不一致两类异常，NC-Nets 与 ECMOD 统一各视图邻域结构），本节只在本任务设定下做形式化，不声称首创。G 大也不等于定位损失大，需比较正常与异常位置的排序及 AP。</w:t>
      </w:r>
    </w:p>
    <w:p w14:paraId="2E67F383">
      <w:r>
        <w:t>距离定义、是否为平方欧氏距离的一半、是否等价于余弦距离，以及特征缩放与有效距离权重之间的关系，需要与当前实现一致。不得把旧图中的 0.5 特征系数直接当作任意新构造的距离权重。</w:t>
      </w:r>
    </w:p>
    <w:p w14:paraId="36E7F040">
      <w:pPr>
        <w:pStyle w:val="4"/>
      </w:pPr>
      <w:r>
        <w:t>3.4 权重与表征替换的受控设计</w:t>
      </w:r>
    </w:p>
    <w:tbl>
      <w:tblPr>
        <w:tblStyle w:val="32"/>
        <w:tblW w:w="0" w:type="auto"/>
        <w:tblInd w:w="0" w:type="dxa"/>
        <w:tblLayout w:type="fixed"/>
        <w:tblCellMar>
          <w:top w:w="0" w:type="dxa"/>
          <w:left w:w="108" w:type="dxa"/>
          <w:bottom w:w="0" w:type="dxa"/>
          <w:right w:w="108" w:type="dxa"/>
        </w:tblCellMar>
      </w:tblPr>
      <w:tblGrid>
        <w:gridCol w:w="1871"/>
        <w:gridCol w:w="4025"/>
        <w:gridCol w:w="3742"/>
      </w:tblGrid>
      <w:tr w14:paraId="2832D7FF">
        <w:tblPrEx>
          <w:tblCellMar>
            <w:top w:w="0" w:type="dxa"/>
            <w:left w:w="108" w:type="dxa"/>
            <w:bottom w:w="0" w:type="dxa"/>
            <w:right w:w="108" w:type="dxa"/>
          </w:tblCellMar>
        </w:tblPrEx>
        <w:trPr>
          <w:cantSplit/>
          <w:tblHeader/>
        </w:trPr>
        <w:tc>
          <w:tcPr>
            <w:tcW w:w="1871" w:type="dxa"/>
            <w:tcBorders>
              <w:top w:val="single" w:color="000000" w:sz="8" w:space="0"/>
              <w:left w:val="nil"/>
              <w:bottom w:val="single" w:color="000000" w:sz="8" w:space="0"/>
              <w:right w:val="nil"/>
            </w:tcBorders>
            <w:tcMar>
              <w:top w:w="90" w:type="dxa"/>
              <w:left w:w="90" w:type="dxa"/>
              <w:bottom w:w="90" w:type="dxa"/>
              <w:right w:w="90" w:type="dxa"/>
            </w:tcMar>
          </w:tcPr>
          <w:p w14:paraId="4A1D73AA">
            <w:pPr>
              <w:spacing w:before="40" w:after="40" w:line="252" w:lineRule="auto"/>
            </w:pPr>
            <w:r>
              <w:rPr>
                <w:b/>
                <w:sz w:val="21"/>
              </w:rPr>
              <w:t>构造</w:t>
            </w:r>
          </w:p>
        </w:tc>
        <w:tc>
          <w:tcPr>
            <w:tcW w:w="4025" w:type="dxa"/>
            <w:tcBorders>
              <w:top w:val="single" w:color="000000" w:sz="8" w:space="0"/>
              <w:left w:val="nil"/>
              <w:bottom w:val="single" w:color="000000" w:sz="8" w:space="0"/>
              <w:right w:val="nil"/>
            </w:tcBorders>
            <w:tcMar>
              <w:top w:w="90" w:type="dxa"/>
              <w:left w:w="90" w:type="dxa"/>
              <w:bottom w:w="90" w:type="dxa"/>
              <w:right w:w="90" w:type="dxa"/>
            </w:tcMar>
          </w:tcPr>
          <w:p w14:paraId="04036A64">
            <w:pPr>
              <w:spacing w:before="40" w:after="40" w:line="252" w:lineRule="auto"/>
            </w:pPr>
            <w:r>
              <w:rPr>
                <w:b/>
                <w:sz w:val="21"/>
              </w:rPr>
              <w:t>固定距离权重</w:t>
            </w:r>
          </w:p>
        </w:tc>
        <w:tc>
          <w:tcPr>
            <w:tcW w:w="3742" w:type="dxa"/>
            <w:tcBorders>
              <w:top w:val="single" w:color="000000" w:sz="8" w:space="0"/>
              <w:left w:val="nil"/>
              <w:bottom w:val="single" w:color="000000" w:sz="8" w:space="0"/>
              <w:right w:val="nil"/>
            </w:tcBorders>
            <w:tcMar>
              <w:top w:w="90" w:type="dxa"/>
              <w:left w:w="90" w:type="dxa"/>
              <w:bottom w:w="90" w:type="dxa"/>
              <w:right w:w="90" w:type="dxa"/>
            </w:tcMar>
          </w:tcPr>
          <w:p w14:paraId="48EAC754">
            <w:pPr>
              <w:spacing w:before="40" w:after="40" w:line="252" w:lineRule="auto"/>
            </w:pPr>
            <w:r>
              <w:rPr>
                <w:b/>
                <w:sz w:val="21"/>
              </w:rPr>
              <w:t>作用</w:t>
            </w:r>
          </w:p>
        </w:tc>
      </w:tr>
      <w:tr w14:paraId="3B5ABE88">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5611C57">
            <w:pPr>
              <w:spacing w:before="40" w:after="40" w:line="252" w:lineRule="auto"/>
            </w:pPr>
            <w:r>
              <w:rPr>
                <w:b w:val="0"/>
                <w:sz w:val="21"/>
              </w:rPr>
              <w:t>A1</w:t>
            </w:r>
          </w:p>
        </w:tc>
        <w:tc>
          <w:tcPr>
            <w:tcW w:w="4025" w:type="dxa"/>
            <w:tcBorders>
              <w:top w:val="nil"/>
              <w:left w:val="nil"/>
              <w:bottom w:val="nil"/>
              <w:right w:val="nil"/>
            </w:tcBorders>
            <w:tcMar>
              <w:top w:w="90" w:type="dxa"/>
              <w:left w:w="90" w:type="dxa"/>
              <w:bottom w:w="90" w:type="dxa"/>
              <w:right w:w="90" w:type="dxa"/>
            </w:tcMar>
          </w:tcPr>
          <w:p w14:paraId="575F8443">
            <w:pPr>
              <w:spacing w:before="40" w:after="40" w:line="252" w:lineRule="auto"/>
            </w:pPr>
            <w:r>
              <w:rPr>
                <w:b w:val="0"/>
                <w:sz w:val="21"/>
              </w:rPr>
              <w:t>B 为 1/2，C 为 1/2</w:t>
            </w:r>
          </w:p>
        </w:tc>
        <w:tc>
          <w:tcPr>
            <w:tcW w:w="3742" w:type="dxa"/>
            <w:tcBorders>
              <w:top w:val="nil"/>
              <w:left w:val="nil"/>
              <w:bottom w:val="nil"/>
              <w:right w:val="nil"/>
            </w:tcBorders>
            <w:tcMar>
              <w:top w:w="90" w:type="dxa"/>
              <w:left w:w="90" w:type="dxa"/>
              <w:bottom w:w="90" w:type="dxa"/>
              <w:right w:w="90" w:type="dxa"/>
            </w:tcMar>
          </w:tcPr>
          <w:p w14:paraId="24B53992">
            <w:pPr>
              <w:spacing w:before="40" w:after="40" w:line="252" w:lineRule="auto"/>
            </w:pPr>
            <w:r>
              <w:rPr>
                <w:b w:val="0"/>
                <w:sz w:val="21"/>
              </w:rPr>
              <w:t>既有双视觉锚点</w:t>
            </w:r>
          </w:p>
        </w:tc>
      </w:tr>
      <w:tr w14:paraId="382CB0E4">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D414F41">
            <w:pPr>
              <w:spacing w:before="40" w:after="40" w:line="252" w:lineRule="auto"/>
            </w:pPr>
            <w:r>
              <w:rPr>
                <w:b w:val="0"/>
                <w:sz w:val="21"/>
              </w:rPr>
              <w:t>DUP</w:t>
            </w:r>
          </w:p>
        </w:tc>
        <w:tc>
          <w:tcPr>
            <w:tcW w:w="4025" w:type="dxa"/>
            <w:tcBorders>
              <w:top w:val="nil"/>
              <w:left w:val="nil"/>
              <w:bottom w:val="nil"/>
              <w:right w:val="nil"/>
            </w:tcBorders>
            <w:tcMar>
              <w:top w:w="90" w:type="dxa"/>
              <w:left w:w="90" w:type="dxa"/>
              <w:bottom w:w="90" w:type="dxa"/>
              <w:right w:w="90" w:type="dxa"/>
            </w:tcMar>
          </w:tcPr>
          <w:p w14:paraId="69790E6A">
            <w:pPr>
              <w:spacing w:before="40" w:after="40" w:line="252" w:lineRule="auto"/>
            </w:pPr>
            <w:r>
              <w:rPr>
                <w:b w:val="0"/>
                <w:sz w:val="21"/>
              </w:rPr>
              <w:t>B 与 Bcopy 各 1/3，C 为 1/3</w:t>
            </w:r>
          </w:p>
        </w:tc>
        <w:tc>
          <w:tcPr>
            <w:tcW w:w="3742" w:type="dxa"/>
            <w:tcBorders>
              <w:top w:val="nil"/>
              <w:left w:val="nil"/>
              <w:bottom w:val="nil"/>
              <w:right w:val="nil"/>
            </w:tcBorders>
            <w:tcMar>
              <w:top w:w="90" w:type="dxa"/>
              <w:left w:w="90" w:type="dxa"/>
              <w:bottom w:w="90" w:type="dxa"/>
              <w:right w:w="90" w:type="dxa"/>
            </w:tcMar>
          </w:tcPr>
          <w:p w14:paraId="38426C1C">
            <w:pPr>
              <w:spacing w:before="40" w:after="40" w:line="252" w:lineRule="auto"/>
            </w:pPr>
            <w:r>
              <w:rPr>
                <w:b w:val="0"/>
                <w:sz w:val="21"/>
              </w:rPr>
              <w:t>不引入新表征，使 B 有效总权重变为 2/3</w:t>
            </w:r>
          </w:p>
        </w:tc>
      </w:tr>
      <w:tr w14:paraId="04DFE53F">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701BAEC9">
            <w:pPr>
              <w:spacing w:before="40" w:after="40" w:line="252" w:lineRule="auto"/>
            </w:pPr>
            <w:r>
              <w:rPr>
                <w:b w:val="0"/>
                <w:sz w:val="21"/>
              </w:rPr>
              <w:t>TRI</w:t>
            </w:r>
          </w:p>
        </w:tc>
        <w:tc>
          <w:tcPr>
            <w:tcW w:w="4025" w:type="dxa"/>
            <w:tcBorders>
              <w:top w:val="nil"/>
              <w:left w:val="nil"/>
              <w:bottom w:val="nil"/>
              <w:right w:val="nil"/>
            </w:tcBorders>
            <w:tcMar>
              <w:top w:w="90" w:type="dxa"/>
              <w:left w:w="90" w:type="dxa"/>
              <w:bottom w:w="90" w:type="dxa"/>
              <w:right w:w="90" w:type="dxa"/>
            </w:tcMar>
          </w:tcPr>
          <w:p w14:paraId="3B409EFD">
            <w:pPr>
              <w:spacing w:before="40" w:after="40" w:line="252" w:lineRule="auto"/>
            </w:pPr>
            <w:r>
              <w:rPr>
                <w:b w:val="0"/>
                <w:sz w:val="21"/>
              </w:rPr>
              <w:t>B、S、C 各 1/3</w:t>
            </w:r>
          </w:p>
        </w:tc>
        <w:tc>
          <w:tcPr>
            <w:tcW w:w="3742" w:type="dxa"/>
            <w:tcBorders>
              <w:top w:val="nil"/>
              <w:left w:val="nil"/>
              <w:bottom w:val="nil"/>
              <w:right w:val="nil"/>
            </w:tcBorders>
            <w:tcMar>
              <w:top w:w="90" w:type="dxa"/>
              <w:left w:w="90" w:type="dxa"/>
              <w:bottom w:w="90" w:type="dxa"/>
              <w:right w:w="90" w:type="dxa"/>
            </w:tcMar>
          </w:tcPr>
          <w:p w14:paraId="2D1ACEA7">
            <w:pPr>
              <w:spacing w:before="40" w:after="40" w:line="252" w:lineRule="auto"/>
            </w:pPr>
            <w:r>
              <w:rPr>
                <w:b w:val="0"/>
                <w:sz w:val="21"/>
              </w:rPr>
              <w:t>以真实 S 替换 Bcopy，保持替换槽位权重</w:t>
            </w:r>
          </w:p>
        </w:tc>
      </w:tr>
      <w:tr w14:paraId="0C562BAD">
        <w:tblPrEx>
          <w:tblCellMar>
            <w:top w:w="0" w:type="dxa"/>
            <w:left w:w="108" w:type="dxa"/>
            <w:bottom w:w="0" w:type="dxa"/>
            <w:right w:w="108" w:type="dxa"/>
          </w:tblCellMar>
        </w:tblPrEx>
        <w:trPr>
          <w:cantSplit/>
        </w:trPr>
        <w:tc>
          <w:tcPr>
            <w:tcW w:w="1871" w:type="dxa"/>
            <w:tcBorders>
              <w:top w:val="nil"/>
              <w:left w:val="nil"/>
              <w:bottom w:val="single" w:color="000000" w:sz="8" w:space="0"/>
              <w:right w:val="nil"/>
            </w:tcBorders>
            <w:tcMar>
              <w:top w:w="90" w:type="dxa"/>
              <w:left w:w="90" w:type="dxa"/>
              <w:bottom w:w="90" w:type="dxa"/>
              <w:right w:w="90" w:type="dxa"/>
            </w:tcMar>
          </w:tcPr>
          <w:p w14:paraId="79016F29">
            <w:pPr>
              <w:spacing w:before="40" w:after="40" w:line="252" w:lineRule="auto"/>
            </w:pPr>
            <w:r>
              <w:rPr>
                <w:b w:val="0"/>
                <w:sz w:val="21"/>
              </w:rPr>
              <w:t>BAL</w:t>
            </w:r>
          </w:p>
        </w:tc>
        <w:tc>
          <w:tcPr>
            <w:tcW w:w="4025" w:type="dxa"/>
            <w:tcBorders>
              <w:top w:val="nil"/>
              <w:left w:val="nil"/>
              <w:bottom w:val="single" w:color="000000" w:sz="8" w:space="0"/>
              <w:right w:val="nil"/>
            </w:tcBorders>
            <w:tcMar>
              <w:top w:w="90" w:type="dxa"/>
              <w:left w:w="90" w:type="dxa"/>
              <w:bottom w:w="90" w:type="dxa"/>
              <w:right w:w="90" w:type="dxa"/>
            </w:tcMar>
          </w:tcPr>
          <w:p w14:paraId="03C09FA6">
            <w:pPr>
              <w:spacing w:before="40" w:after="40" w:line="252" w:lineRule="auto"/>
            </w:pPr>
            <w:r>
              <w:rPr>
                <w:b w:val="0"/>
                <w:sz w:val="21"/>
              </w:rPr>
              <w:t>B、S 各 1/4，C 为 1/2</w:t>
            </w:r>
          </w:p>
        </w:tc>
        <w:tc>
          <w:tcPr>
            <w:tcW w:w="3742" w:type="dxa"/>
            <w:tcBorders>
              <w:top w:val="nil"/>
              <w:left w:val="nil"/>
              <w:bottom w:val="single" w:color="000000" w:sz="8" w:space="0"/>
              <w:right w:val="nil"/>
            </w:tcBorders>
            <w:tcMar>
              <w:top w:w="90" w:type="dxa"/>
              <w:left w:w="90" w:type="dxa"/>
              <w:bottom w:w="90" w:type="dxa"/>
              <w:right w:w="90" w:type="dxa"/>
            </w:tcMar>
          </w:tcPr>
          <w:p w14:paraId="381EF299">
            <w:pPr>
              <w:spacing w:before="40" w:after="40" w:line="252" w:lineRule="auto"/>
            </w:pPr>
            <w:r>
              <w:rPr>
                <w:b w:val="0"/>
                <w:sz w:val="21"/>
              </w:rPr>
              <w:t>保持 DINO 家族与 C 的总权重，各占一半</w:t>
            </w:r>
          </w:p>
        </w:tc>
      </w:tr>
    </w:tbl>
    <w:p w14:paraId="469AE22C">
      <w:pPr>
        <w:spacing w:after="0"/>
      </w:pPr>
    </w:p>
    <w:p w14:paraId="6094677D">
      <w:r>
        <w:t>每个构造都计算 J 与 L。A1→DUP 用于检查有效权重变化，DUP→TRI 用于检查固定槽位上的表征替换，A1→BAL 提供保持家族总权重的补充证据。BAL 保持的是家族总权重，不是每个具体编码器的权重；措辞中需保留这一差别。</w:t>
      </w:r>
    </w:p>
    <w:p w14:paraId="2FE0B8D6">
      <w:r>
        <w:t>TRI 与 A1 的直接差异同时改变权重和表征，只能作为整体表现，不能单独归因于 S。复制控制的数值等价性用于验证实现，不作为额外独立算法计数。</w:t>
      </w:r>
    </w:p>
    <w:p w14:paraId="7B39D3AB">
      <w:pPr>
        <w:pStyle w:val="4"/>
      </w:pPr>
      <w:r>
        <w:t>3.5 新增表征与匹配方式的直接交互</w:t>
      </w:r>
    </w:p>
    <w:p w14:paraId="4F186F38">
      <w:r>
        <w:t xml:space="preserve">固定数据集、seed 与 K 后，用 </w:t>
      </w:r>
      <m:oMath>
        <m:r>
          <m:rPr/>
          <w:rPr>
            <w:rFonts w:ascii="Cambria Math" w:hAnsi="Cambria Math"/>
          </w:rPr>
          <m:t>P(X)</m:t>
        </m:r>
      </m:oMath>
      <w:r>
        <w:t xml:space="preserve"> 表示构造 X 的类别宏平均像素 AP。先分别报告 J、L 下的表征替换效应，再比较这两个效应，而不是比较两组是否各自显著。</w:t>
      </w:r>
    </w:p>
    <w:p w14:paraId="56F519D7">
      <w:pPr>
        <w:jc w:val="center"/>
      </w:pPr>
      <m:oMath>
        <m:sSub>
          <m:sSubPr/>
          <m:e>
            <m:r>
              <m:rPr/>
              <w:rPr>
                <w:rFonts w:ascii="Cambria Math" w:hAnsi="Cambria Math"/>
              </w:rPr>
              <m:t>E</m:t>
            </m:r>
          </m:e>
          <m:sub>
            <m:r>
              <m:rPr>
                <m:sty m:val="p"/>
              </m:rPr>
              <w:rPr>
                <w:rFonts w:ascii="Cambria Math" w:hAnsi="Cambria Math"/>
              </w:rPr>
              <m:t>TRI</m:t>
            </m:r>
            <m:r>
              <m:rPr/>
              <w:rPr>
                <w:rFonts w:ascii="Cambria Math" w:hAnsi="Cambria Math"/>
              </w:rPr>
              <m:t>,t</m:t>
            </m:r>
          </m:sub>
        </m:sSub>
        <m:r>
          <m:rPr/>
          <w:rPr>
            <w:rFonts w:ascii="Cambria Math" w:hAnsi="Cambria Math"/>
          </w:rPr>
          <m:t>=P(</m:t>
        </m:r>
        <m:sSub>
          <m:sSubPr/>
          <m:e>
            <m:r>
              <m:rPr>
                <m:sty m:val="p"/>
              </m:rPr>
              <w:rPr>
                <w:rFonts w:ascii="Cambria Math" w:hAnsi="Cambria Math"/>
              </w:rPr>
              <m:t>TRI</m:t>
            </m:r>
          </m:e>
          <m:sub>
            <m:r>
              <m:rPr/>
              <w:rPr>
                <w:rFonts w:ascii="Cambria Math" w:hAnsi="Cambria Math"/>
              </w:rPr>
              <m:t>t</m:t>
            </m:r>
          </m:sub>
        </m:sSub>
        <m:r>
          <m:rPr/>
          <w:rPr>
            <w:rFonts w:ascii="Cambria Math" w:hAnsi="Cambria Math"/>
          </w:rPr>
          <m:t>)−P(</m:t>
        </m:r>
        <m:sSub>
          <m:sSubPr/>
          <m:e>
            <m:r>
              <m:rPr>
                <m:sty m:val="p"/>
              </m:rPr>
              <w:rPr>
                <w:rFonts w:ascii="Cambria Math" w:hAnsi="Cambria Math"/>
              </w:rPr>
              <m:t>DUP</m:t>
            </m:r>
          </m:e>
          <m:sub>
            <m:r>
              <m:rPr/>
              <w:rPr>
                <w:rFonts w:ascii="Cambria Math" w:hAnsi="Cambria Math"/>
              </w:rPr>
              <m:t>t</m:t>
            </m:r>
          </m:sub>
        </m:sSub>
        <m:r>
          <m:rPr/>
          <w:rPr>
            <w:rFonts w:ascii="Cambria Math" w:hAnsi="Cambria Math"/>
          </w:rPr>
          <m:t>),    t ∈ {J,L}</m:t>
        </m:r>
      </m:oMath>
      <w:r>
        <w:t xml:space="preserve">    (4)</w:t>
      </w:r>
    </w:p>
    <w:p w14:paraId="6AB1B1B3">
      <w:pPr>
        <w:jc w:val="center"/>
      </w:pPr>
      <m:oMath>
        <m:sSub>
          <m:sSubPr/>
          <m:e>
            <m:r>
              <m:rPr/>
              <w:rPr>
                <w:rFonts w:ascii="Cambria Math" w:hAnsi="Cambria Math"/>
              </w:rPr>
              <m:t>E</m:t>
            </m:r>
          </m:e>
          <m:sub>
            <m:r>
              <m:rPr>
                <m:sty m:val="p"/>
              </m:rPr>
              <w:rPr>
                <w:rFonts w:ascii="Cambria Math" w:hAnsi="Cambria Math"/>
              </w:rPr>
              <m:t>BAL</m:t>
            </m:r>
            <m:r>
              <m:rPr/>
              <w:rPr>
                <w:rFonts w:ascii="Cambria Math" w:hAnsi="Cambria Math"/>
              </w:rPr>
              <m:t>,t</m:t>
            </m:r>
          </m:sub>
        </m:sSub>
        <m:r>
          <m:rPr/>
          <w:rPr>
            <w:rFonts w:ascii="Cambria Math" w:hAnsi="Cambria Math"/>
          </w:rPr>
          <m:t>=P(</m:t>
        </m:r>
        <m:sSub>
          <m:sSubPr/>
          <m:e>
            <m:r>
              <m:rPr>
                <m:sty m:val="p"/>
              </m:rPr>
              <w:rPr>
                <w:rFonts w:ascii="Cambria Math" w:hAnsi="Cambria Math"/>
              </w:rPr>
              <m:t>BAL</m:t>
            </m:r>
          </m:e>
          <m:sub>
            <m:r>
              <m:rPr/>
              <w:rPr>
                <w:rFonts w:ascii="Cambria Math" w:hAnsi="Cambria Math"/>
              </w:rPr>
              <m:t>t</m:t>
            </m:r>
          </m:sub>
        </m:sSub>
        <m:r>
          <m:rPr/>
          <w:rPr>
            <w:rFonts w:ascii="Cambria Math" w:hAnsi="Cambria Math"/>
          </w:rPr>
          <m:t>)−P(</m:t>
        </m:r>
        <m:sSub>
          <m:sSubPr/>
          <m:e>
            <m:r>
              <m:rPr>
                <m:sty m:val="p"/>
              </m:rPr>
              <w:rPr>
                <w:rFonts w:ascii="Cambria Math" w:hAnsi="Cambria Math"/>
              </w:rPr>
              <m:t>A1</m:t>
            </m:r>
          </m:e>
          <m:sub>
            <m:r>
              <m:rPr/>
              <w:rPr>
                <w:rFonts w:ascii="Cambria Math" w:hAnsi="Cambria Math"/>
              </w:rPr>
              <m:t>t</m:t>
            </m:r>
          </m:sub>
        </m:sSub>
        <m:r>
          <m:rPr/>
          <w:rPr>
            <w:rFonts w:ascii="Cambria Math" w:hAnsi="Cambria Math"/>
          </w:rPr>
          <m:t>)</m:t>
        </m:r>
      </m:oMath>
      <w:r>
        <w:t xml:space="preserve">    (5)</w:t>
      </w:r>
    </w:p>
    <w:p w14:paraId="62BE3568">
      <w:pPr>
        <w:jc w:val="center"/>
      </w:pPr>
      <m:oMath>
        <m:sSub>
          <m:sSubPr/>
          <m:e>
            <m:r>
              <m:rPr/>
              <w:rPr>
                <w:rFonts w:ascii="Cambria Math" w:hAnsi="Cambria Math"/>
              </w:rPr>
              <m:t>I</m:t>
            </m:r>
          </m:e>
          <m:sub>
            <m:r>
              <m:rPr>
                <m:sty m:val="p"/>
              </m:rPr>
              <w:rPr>
                <w:rFonts w:ascii="Cambria Math" w:hAnsi="Cambria Math"/>
              </w:rPr>
              <m:t>TRI</m:t>
            </m:r>
          </m:sub>
        </m:sSub>
        <m:r>
          <m:rPr/>
          <w:rPr>
            <w:rFonts w:ascii="Cambria Math" w:hAnsi="Cambria Math"/>
          </w:rPr>
          <m:t>=</m:t>
        </m:r>
        <m:sSub>
          <m:sSubPr/>
          <m:e>
            <m:r>
              <m:rPr/>
              <w:rPr>
                <w:rFonts w:ascii="Cambria Math" w:hAnsi="Cambria Math"/>
              </w:rPr>
              <m:t>E</m:t>
            </m:r>
          </m:e>
          <m:sub>
            <m:r>
              <m:rPr>
                <m:sty m:val="p"/>
              </m:rPr>
              <w:rPr>
                <w:rFonts w:ascii="Cambria Math" w:hAnsi="Cambria Math"/>
              </w:rPr>
              <m:t>TRI</m:t>
            </m:r>
            <m:r>
              <m:rPr/>
              <w:rPr>
                <w:rFonts w:ascii="Cambria Math" w:hAnsi="Cambria Math"/>
              </w:rPr>
              <m:t>,L</m:t>
            </m:r>
          </m:sub>
        </m:sSub>
        <m:r>
          <m:rPr/>
          <w:rPr>
            <w:rFonts w:ascii="Cambria Math" w:hAnsi="Cambria Math"/>
          </w:rPr>
          <m:t>−</m:t>
        </m:r>
        <m:sSub>
          <m:sSubPr/>
          <m:e>
            <m:r>
              <m:rPr/>
              <w:rPr>
                <w:rFonts w:ascii="Cambria Math" w:hAnsi="Cambria Math"/>
              </w:rPr>
              <m:t>E</m:t>
            </m:r>
          </m:e>
          <m:sub>
            <m:r>
              <m:rPr>
                <m:sty m:val="p"/>
              </m:rPr>
              <w:rPr>
                <w:rFonts w:ascii="Cambria Math" w:hAnsi="Cambria Math"/>
              </w:rPr>
              <m:t>TRI</m:t>
            </m:r>
            <m:r>
              <m:rPr/>
              <w:rPr>
                <w:rFonts w:ascii="Cambria Math" w:hAnsi="Cambria Math"/>
              </w:rPr>
              <m:t>,J</m:t>
            </m:r>
          </m:sub>
        </m:sSub>
      </m:oMath>
      <w:r>
        <w:t xml:space="preserve">    (6)</w:t>
      </w:r>
    </w:p>
    <w:p w14:paraId="0AEE0962">
      <w:pPr>
        <w:jc w:val="center"/>
      </w:pPr>
      <m:oMath>
        <m:sSub>
          <m:sSubPr/>
          <m:e>
            <m:r>
              <m:rPr/>
              <w:rPr>
                <w:rFonts w:ascii="Cambria Math" w:hAnsi="Cambria Math"/>
              </w:rPr>
              <m:t>I</m:t>
            </m:r>
          </m:e>
          <m:sub>
            <m:r>
              <m:rPr>
                <m:sty m:val="p"/>
              </m:rPr>
              <w:rPr>
                <w:rFonts w:ascii="Cambria Math" w:hAnsi="Cambria Math"/>
              </w:rPr>
              <m:t>BAL</m:t>
            </m:r>
          </m:sub>
        </m:sSub>
        <m:r>
          <m:rPr/>
          <w:rPr>
            <w:rFonts w:ascii="Cambria Math" w:hAnsi="Cambria Math"/>
          </w:rPr>
          <m:t>=</m:t>
        </m:r>
        <m:sSub>
          <m:sSubPr/>
          <m:e>
            <m:r>
              <m:rPr/>
              <w:rPr>
                <w:rFonts w:ascii="Cambria Math" w:hAnsi="Cambria Math"/>
              </w:rPr>
              <m:t>E</m:t>
            </m:r>
          </m:e>
          <m:sub>
            <m:r>
              <m:rPr>
                <m:sty m:val="p"/>
              </m:rPr>
              <w:rPr>
                <w:rFonts w:ascii="Cambria Math" w:hAnsi="Cambria Math"/>
              </w:rPr>
              <m:t>BAL</m:t>
            </m:r>
            <m:r>
              <m:rPr/>
              <w:rPr>
                <w:rFonts w:ascii="Cambria Math" w:hAnsi="Cambria Math"/>
              </w:rPr>
              <m:t>,L</m:t>
            </m:r>
          </m:sub>
        </m:sSub>
        <m:r>
          <m:rPr/>
          <w:rPr>
            <w:rFonts w:ascii="Cambria Math" w:hAnsi="Cambria Math"/>
          </w:rPr>
          <m:t>−</m:t>
        </m:r>
        <m:sSub>
          <m:sSubPr/>
          <m:e>
            <m:r>
              <m:rPr/>
              <w:rPr>
                <w:rFonts w:ascii="Cambria Math" w:hAnsi="Cambria Math"/>
              </w:rPr>
              <m:t>E</m:t>
            </m:r>
          </m:e>
          <m:sub>
            <m:r>
              <m:rPr>
                <m:sty m:val="p"/>
              </m:rPr>
              <w:rPr>
                <w:rFonts w:ascii="Cambria Math" w:hAnsi="Cambria Math"/>
              </w:rPr>
              <m:t>BAL</m:t>
            </m:r>
            <m:r>
              <m:rPr/>
              <w:rPr>
                <w:rFonts w:ascii="Cambria Math" w:hAnsi="Cambria Math"/>
              </w:rPr>
              <m:t>,J</m:t>
            </m:r>
          </m:sub>
        </m:sSub>
      </m:oMath>
      <w:r>
        <w:t xml:space="preserve">    (7)</w:t>
      </w:r>
    </w:p>
    <w:p w14:paraId="3FDEECAF">
      <w:r>
        <w:t>正交互表示独立匹配下替换收益更大或损失更小，不必然表示新增分支已经带来正收益。若要使用“独立匹配释放了新增表征的收益”，必须同时满足相应 E 在独立匹配下为正且交互证据支持该表述。</w:t>
      </w:r>
    </w:p>
    <w:p w14:paraId="3F09974E">
      <w:r>
        <w:t>采用共享测试图像的配对重采样，在每次复制内计算完整差值并聚合固定条件，再获得区间。不得相减四个区间端点，也不能由“一组显著、一组不显著”推断两组显著不同。研究假说来自已观察的数据，因此当前交互分析保持探索性身份。</w:t>
      </w:r>
    </w:p>
    <w:p w14:paraId="2BF8A078">
      <w:pPr>
        <w:pStyle w:val="4"/>
      </w:pPr>
      <w:r>
        <w:t>3.6 正常记忆与输出恢复及复杂度</w:t>
      </w:r>
    </w:p>
    <w:p w14:paraId="3D97ACC1">
      <w:r>
        <w:t>明确正常库的建立、固定、参考行映射和查询过程。输出恢复需遵循实际 resize/crop、网格和评价画布，先说明坐标关系，再说明插值和平滑，不能把所有图像概括为统一的方形 448×448。</w:t>
      </w:r>
    </w:p>
    <w:p w14:paraId="5290B195">
      <w:r>
        <w:t xml:space="preserve">设候选参考行数为 N，各分支特征维度为 </w:t>
      </w:r>
      <m:oMath>
        <m:sSub>
          <m:sSubPr/>
          <m:e>
            <m:r>
              <m:rPr/>
              <w:rPr>
                <w:rFonts w:ascii="Cambria Math" w:hAnsi="Cambria Math"/>
              </w:rPr>
              <m:t>D</m:t>
            </m:r>
          </m:e>
          <m:sub>
            <m:r>
              <m:rPr/>
              <w:rPr>
                <w:rFonts w:ascii="Cambria Math" w:hAnsi="Cambria Math"/>
              </w:rPr>
              <m:t>b</m:t>
            </m:r>
          </m:sub>
        </m:sSub>
      </m:oMath>
      <w:r>
        <w:t>，查询 patch 数为 Q。精确遍历时，两类匹配的距离计算都与查询 patch 数、参考行数及分支维度总和三者的乘积同阶，但 J 需要同一候选上的跨分支聚合，L 需要分别保留最优参考。实际时间、索引空间和峰值驻留内存由实现决定，应实测；不从同阶复杂度直接断言二者耗时相同。</w:t>
      </w:r>
    </w:p>
    <w:p w14:paraId="2980EAE3">
      <w:pPr>
        <w:pStyle w:val="4"/>
      </w:pPr>
      <w:r>
        <w:t>3.7 模型配置与复现参数</w:t>
      </w:r>
    </w:p>
    <w:p w14:paraId="0F2BFE21">
      <w:r>
        <w:t>沿用原稿配置表，记录骨干、权重来源、层、原生输出维度、输入几何变换、共同网格、归一化、检索、平滑参数及设备。B/S/C 的维度和总融合维度按新实现填写，不能沿用“所有分支均 768 维、融合均为 1536 维”的旧双支描述。</w:t>
      </w:r>
    </w:p>
    <w:p w14:paraId="49F3F835">
      <w:r>
        <w:t>目标域训练参数为零；学习率、训练优化器和 epoch 标为不适用。记忆库构建、编码与检索仍有成本。任何未来的 CNN 分支只能在执行和验收后进入该表，当前留作附录中的验证计划。</w:t>
      </w:r>
    </w:p>
    <w:p w14:paraId="1B113721">
      <w:pPr>
        <w:pStyle w:val="3"/>
      </w:pPr>
      <w:r>
        <w:t>4 实验评估 Experimental Evaluations</w:t>
      </w:r>
    </w:p>
    <w:p w14:paraId="2408F897">
      <w:pPr>
        <w:pStyle w:val="4"/>
      </w:pPr>
      <w:r>
        <w:t>4.1 实验设计 Experimental Design</w:t>
      </w:r>
    </w:p>
    <w:p w14:paraId="2C38AB2A">
      <w:pPr>
        <w:pStyle w:val="5"/>
      </w:pPr>
      <w:r>
        <w:t>4.1.1 数据集与正常参考协议</w:t>
      </w:r>
    </w:p>
    <w:p w14:paraId="752A8FC9">
      <w:r>
        <w:t>主研究包括 MPDD 六类与 BTAD 三类。MPDD 使用正常参考抽样 seed 0、1、2；BTAD 使用 seed 0、1。两者均考察 K=1、2、4、8，较大 K 保留较小 K 的全部参考图，形成嵌套支持集。</w:t>
      </w:r>
    </w:p>
    <w:p w14:paraId="5E0CFA46">
      <w:r>
        <w:t>MPDD 为开发数据；BTAD 是历史上已接触的数据集上的冻结复核，不能称为首次未见数据验证。旧稿 MVTec、VisA 结果只作为历史材料，不并入新主题主表。96 个类别×seed×K 单元和 20 个数据集×seed×K 条件不是 96 次或 20 次独立重复。</w:t>
      </w:r>
    </w:p>
    <w:p w14:paraId="42FF8D58">
      <w:pPr>
        <w:pStyle w:val="5"/>
      </w:pPr>
      <w:r>
        <w:t>4.1.2 对照方法与模块消融</w:t>
      </w:r>
    </w:p>
    <w:p w14:paraId="623A4BC1">
      <w:r>
        <w:t>先列三种比较层次。第一层为 B/S/C 单支和 A1/DUP/TRI/BAL 的 J/L 共 11 个核心构造，用于研究因素；第二层为原生 AnomalyDINO、PatchCore 及经核验的近期方法，用于说明实际竞争力；第三层为真正删除或替换某一模块的消融，用于支撑独立模块主张。</w:t>
      </w:r>
    </w:p>
    <w:p w14:paraId="3E9BD69D">
      <w:r>
        <w:t>按照老师要求，matched DINO-only 等既有单支基线不直接改名为模块消融。J/L、复制与表征替换在本论文中明确称为受控因素比较。若对归一化、空间对齐或 DPAM 单独声称创新和收益，应补相应模块消融；本提纲不把它们列为已经证明的新模块。</w:t>
      </w:r>
    </w:p>
    <w:p w14:paraId="74ECF51D">
      <w:r>
        <w:t>既有 R1 MAP_mean 是独立检索再合并的历史证据，与新 J/L 主题有连续性；放在补充材料说明方法来源和协议演进，不能与新矩阵混合统计，也不为制造工作量重复运行。</w:t>
      </w:r>
    </w:p>
    <w:p w14:paraId="4B8A005C">
      <w:pPr>
        <w:pStyle w:val="5"/>
      </w:pPr>
      <w:r>
        <w:t>4.1.3 指标与统计推断</w:t>
      </w:r>
    </w:p>
    <w:p w14:paraId="69F3F1A5">
      <w:r>
        <w:t>主要指标为类别宏平均像素 AP，辅助报告像素 AUROC 及已经可靠产出的图像级 AP/AUROC。AP 的差异写为百分点，不统称 accuracy。像素 F1 等依赖阈值的指标只在阈值协议完整时使用，不因旧稿曾列六指标就补造缺失项。</w:t>
      </w:r>
    </w:p>
    <w:p w14:paraId="6A3FB07C">
      <w:r>
        <w:t>正式性能以全像素点估计为主；当前 stride8 配对区间单独标注。重采样单位是测试图像，方法间使用同一复制；跨类别和条件的聚合顺序明确。原始点差与 bootstrap 均值分列，不能平均区间端点。</w:t>
      </w:r>
    </w:p>
    <w:p w14:paraId="603366F2">
      <w:r>
        <w:t>直接交互计划同时报告探索性 95% 区间及四个汇总交互组成的比较家族所对应的 98.75% Bonferroni 近似区间。原匹配效应的 97.5% 区间属于另一组预定比较，二者不混称。1000 次复制的尾部精度有限，边界结果需如实描述。0.5 个 AP 百分点仅作为本项目既定实用参考尺度，不当作工业通用标准。</w:t>
      </w:r>
    </w:p>
    <w:p w14:paraId="7BA1BF34">
      <w:pPr>
        <w:pStyle w:val="5"/>
      </w:pPr>
      <w:r>
        <w:t>4.1.4 实现与计算环境</w:t>
      </w:r>
    </w:p>
    <w:p w14:paraId="17D5F819">
      <w:r>
        <w:t>完整记录软硬件、精度、输入尺寸、batch size、编码器冻结模式、支持清单和代码版本。以同一设备测量编码、建库、查询与后处理，CUDA 计时同步，报告预热和重复次数。显存、主存和磁盘缓存分开，阶段耗时之和不冒充端到端实测。</w:t>
      </w:r>
    </w:p>
    <w:p w14:paraId="2A0E62E1">
      <w:pPr>
        <w:pStyle w:val="5"/>
      </w:pPr>
      <w:r>
        <w:t>4.1.5 几何与评价一致性</w:t>
      </w:r>
    </w:p>
    <w:p w14:paraId="4C9CAA9B">
      <w:r>
        <w:t>BTAD03 的 B/S 实际变换包含按比例缩放及裁剪；旧掩码直接缩放到画布与该变换不一致。本轮已完成忠实 GT、坐标审计与四个几何口径的重评（544 行），并以坐标修正版重做了受影响的类别级重采样，得到修正口径的宏平均。量化结果是：单个方法条件的绝对像素 AP 变化最大 0.0136（方法均值约 −0.003 至−0.005），而交互量本身只变化约 2×10⁻⁵。正文只使用同一坐标和掩码版本的点估计与区间，旧版本留作敏感性材料，并说明交互之所以稳定，是因为它是同方向的差分之差。</w:t>
      </w:r>
    </w:p>
    <w:p w14:paraId="6CF8BE56">
      <w:r>
        <w:t>本小节解释为何评价可以比较；路径、哈希和逐图变换清单放附录，避免将工程日志写成科学贡献。</w:t>
      </w:r>
    </w:p>
    <w:p w14:paraId="6ED506AE">
      <w:pPr>
        <w:pStyle w:val="4"/>
      </w:pPr>
      <w:r>
        <w:t>4.2 结果与分析 Results and Analysis</w:t>
      </w:r>
    </w:p>
    <w:p w14:paraId="4975C3B1">
      <w:r>
        <w:t>每节采用「问题—对照—实际结果—解释与边界」的顺序。下面给出的是收尾轮次之后的实际数字：坐标、评价与推断版本已经统一，主统计为步长 8 的类别宏平均像素 AP 与配对区间，全像素口径只作点估计敏感性。</w:t>
      </w:r>
    </w:p>
    <w:p w14:paraId="00CBDA79">
      <w:pPr>
        <w:pStyle w:val="5"/>
      </w:pPr>
      <w:r>
        <w:t>4.2.1 总体性能与正常参考匹配效应</w:t>
      </w:r>
    </w:p>
    <w:p w14:paraId="635F66A4">
      <w:r>
        <w:t>先展示单支、双支与三支总体指标，再将相同构造下 L−J 作为主要比较。步长 8 的配对结果为：A1 的 L−J 在 MPDD 上点差 +0.617 个百分点、bootstrap 均值 +0.637 个百分点，95% 区间 [+0.337, +0.977]；在 BTAD（坐标修正口径）上点差 +0.899、均值 +0.915 个百分点，区间 [+0.731, +1.171]，两者区间均不含零。DUP 与 TRI 上的匹配效应同向且区间不含零，BAL 亦然。全像素口径只有点估计，用于方向核对，不写成已证明显著。</w:t>
      </w:r>
    </w:p>
    <w:p w14:paraId="7FEA9ECD">
      <w:r>
        <w:t>这一节建立“匹配规则值得研究”的事实基础，不用 A1 的平均效应直接替代第三分支的交互结果，也不声称所有类别均改善。</w:t>
      </w:r>
    </w:p>
    <w:p w14:paraId="07A3609C">
      <w:pPr>
        <w:pStyle w:val="5"/>
      </w:pPr>
      <w:r>
        <w:t>4.2.2 复制分支所揭示的权重混淆</w:t>
      </w:r>
    </w:p>
    <w:p w14:paraId="63E2BB98">
      <w:r>
        <w:t>比较 DUP 与 A1，解释 B 的总权重由 1/2 变为 2/3。步长 8 的点估计为：共同匹配下 MPDD −0.802、BTAD −0.959 个百分点，独立匹配下 MPDD −1.099、BTAD −1.205 个百分点（12 与 8 个条件上的类别宏平均）。这说明本组合中该权重变化可能造成损失。报告 J 和 L 两种规则的完整结果，不只选一条有利曲线。</w:t>
      </w:r>
    </w:p>
    <w:p w14:paraId="0D1C1DBB">
      <w:r>
        <w:t>结论限定为“分支数量变化可能夹带有效权重变化”，不推断均匀双支权重全局最优，也不推断复制任何分支都会变差。</w:t>
      </w:r>
    </w:p>
    <w:p w14:paraId="7AD698E8">
      <w:pPr>
        <w:pStyle w:val="5"/>
      </w:pPr>
      <w:r>
        <w:t>4.2.3 新增表征本身的条件性收益</w:t>
      </w:r>
    </w:p>
    <w:p w14:paraId="44133504">
      <w:r>
        <w:t>比较 TRI−DUP 和 BAL−A1，分别报告 J 与 L。下表为步长 8 的汇总点估计，数据口径为 MPDD 三 seed × K 1/2/4/8（12 个条件）与 BTAD 两 seed × K 1/2/4/8（8 个条件）；BTAD 一列采用坐标修正口径，修正前后该列变化约 2×10⁻⁵ 个百分点量级。完整区间见 `02_interaction/representation_effects.csv`。</w:t>
      </w:r>
    </w:p>
    <w:tbl>
      <w:tblPr>
        <w:tblStyle w:val="32"/>
        <w:tblW w:w="0" w:type="auto"/>
        <w:tblInd w:w="0" w:type="dxa"/>
        <w:tblLayout w:type="fixed"/>
        <w:tblCellMar>
          <w:top w:w="0" w:type="dxa"/>
          <w:left w:w="108" w:type="dxa"/>
          <w:bottom w:w="0" w:type="dxa"/>
          <w:right w:w="108" w:type="dxa"/>
        </w:tblCellMar>
      </w:tblPr>
      <w:tblGrid>
        <w:gridCol w:w="3685"/>
        <w:gridCol w:w="2976"/>
        <w:gridCol w:w="2976"/>
      </w:tblGrid>
      <w:tr w14:paraId="673F6796">
        <w:tblPrEx>
          <w:tblCellMar>
            <w:top w:w="0" w:type="dxa"/>
            <w:left w:w="108" w:type="dxa"/>
            <w:bottom w:w="0" w:type="dxa"/>
            <w:right w:w="108" w:type="dxa"/>
          </w:tblCellMar>
        </w:tblPrEx>
        <w:trPr>
          <w:cantSplit/>
          <w:tblHeader/>
        </w:trPr>
        <w:tc>
          <w:tcPr>
            <w:tcW w:w="3685" w:type="dxa"/>
            <w:tcBorders>
              <w:top w:val="single" w:color="000000" w:sz="8" w:space="0"/>
              <w:left w:val="nil"/>
              <w:bottom w:val="single" w:color="000000" w:sz="8" w:space="0"/>
              <w:right w:val="nil"/>
            </w:tcBorders>
            <w:tcMar>
              <w:top w:w="90" w:type="dxa"/>
              <w:left w:w="90" w:type="dxa"/>
              <w:bottom w:w="90" w:type="dxa"/>
              <w:right w:w="90" w:type="dxa"/>
            </w:tcMar>
          </w:tcPr>
          <w:p w14:paraId="01032DAE">
            <w:pPr>
              <w:spacing w:before="40" w:after="40" w:line="252" w:lineRule="auto"/>
            </w:pPr>
            <w:r>
              <w:rPr>
                <w:b/>
                <w:sz w:val="21"/>
              </w:rPr>
              <w:t>表征替换对照</w:t>
            </w:r>
          </w:p>
        </w:tc>
        <w:tc>
          <w:tcPr>
            <w:tcW w:w="2976" w:type="dxa"/>
            <w:tcBorders>
              <w:top w:val="single" w:color="000000" w:sz="8" w:space="0"/>
              <w:left w:val="nil"/>
              <w:bottom w:val="single" w:color="000000" w:sz="8" w:space="0"/>
              <w:right w:val="nil"/>
            </w:tcBorders>
            <w:tcMar>
              <w:top w:w="90" w:type="dxa"/>
              <w:left w:w="90" w:type="dxa"/>
              <w:bottom w:w="90" w:type="dxa"/>
              <w:right w:w="90" w:type="dxa"/>
            </w:tcMar>
          </w:tcPr>
          <w:p w14:paraId="1242B685">
            <w:pPr>
              <w:spacing w:before="40" w:after="40" w:line="252" w:lineRule="auto"/>
            </w:pPr>
            <w:r>
              <w:rPr>
                <w:b/>
                <w:sz w:val="21"/>
              </w:rPr>
              <w:t>MPDD AP 百分点</w:t>
            </w:r>
          </w:p>
        </w:tc>
        <w:tc>
          <w:tcPr>
            <w:tcW w:w="2976" w:type="dxa"/>
            <w:tcBorders>
              <w:top w:val="single" w:color="000000" w:sz="8" w:space="0"/>
              <w:left w:val="nil"/>
              <w:bottom w:val="single" w:color="000000" w:sz="8" w:space="0"/>
              <w:right w:val="nil"/>
            </w:tcBorders>
            <w:tcMar>
              <w:top w:w="90" w:type="dxa"/>
              <w:left w:w="90" w:type="dxa"/>
              <w:bottom w:w="90" w:type="dxa"/>
              <w:right w:w="90" w:type="dxa"/>
            </w:tcMar>
          </w:tcPr>
          <w:p w14:paraId="135E9C86">
            <w:pPr>
              <w:spacing w:before="40" w:after="40" w:line="252" w:lineRule="auto"/>
            </w:pPr>
            <w:r>
              <w:rPr>
                <w:b/>
                <w:sz w:val="21"/>
              </w:rPr>
              <w:t>BTAD AP 百分点</w:t>
            </w:r>
          </w:p>
        </w:tc>
      </w:tr>
      <w:tr w14:paraId="16C59D65">
        <w:tblPrEx>
          <w:tblCellMar>
            <w:top w:w="0" w:type="dxa"/>
            <w:left w:w="108" w:type="dxa"/>
            <w:bottom w:w="0" w:type="dxa"/>
            <w:right w:w="108" w:type="dxa"/>
          </w:tblCellMar>
        </w:tblPrEx>
        <w:trPr>
          <w:cantSplit/>
        </w:trPr>
        <w:tc>
          <w:tcPr>
            <w:tcW w:w="3685" w:type="dxa"/>
            <w:tcBorders>
              <w:top w:val="nil"/>
              <w:left w:val="nil"/>
              <w:bottom w:val="nil"/>
              <w:right w:val="nil"/>
            </w:tcBorders>
            <w:tcMar>
              <w:top w:w="90" w:type="dxa"/>
              <w:left w:w="90" w:type="dxa"/>
              <w:bottom w:w="90" w:type="dxa"/>
              <w:right w:w="90" w:type="dxa"/>
            </w:tcMar>
          </w:tcPr>
          <w:p w14:paraId="5904B361">
            <w:pPr>
              <w:spacing w:before="40" w:after="40" w:line="252" w:lineRule="auto"/>
            </w:pPr>
            <m:oMath>
              <m:sSub>
                <m:sSubPr/>
                <m:e>
                  <m:r>
                    <m:rPr>
                      <m:sty m:val="p"/>
                    </m:rPr>
                    <w:rPr>
                      <w:rFonts w:ascii="Cambria Math" w:hAnsi="Cambria Math"/>
                    </w:rPr>
                    <m:t>TRI</m:t>
                  </m:r>
                </m:e>
                <m:sub>
                  <m:r>
                    <m:rPr>
                      <m:sty m:val="p"/>
                    </m:rPr>
                    <w:rPr>
                      <w:rFonts w:ascii="Cambria Math" w:hAnsi="Cambria Math"/>
                    </w:rPr>
                    <m:t>J</m:t>
                  </m:r>
                </m:sub>
              </m:sSub>
            </m:oMath>
            <w:r>
              <w:rPr>
                <w:b w:val="0"/>
                <w:sz w:val="21"/>
              </w:rPr>
              <w:t>E_TRI_J：TRI_J − DUP_J（共同匹配）</w:t>
            </w:r>
            <m:oMath>
              <m:sSub>
                <m:sSubPr/>
                <m:e>
                  <m:r>
                    <m:rPr>
                      <m:sty m:val="p"/>
                    </m:rPr>
                    <w:rPr>
                      <w:rFonts w:ascii="Cambria Math" w:hAnsi="Cambria Math"/>
                    </w:rPr>
                    <m:t>DUP</m:t>
                  </m:r>
                </m:e>
                <m:sub>
                  <m:r>
                    <m:rPr>
                      <m:sty m:val="p"/>
                    </m:rPr>
                    <w:rPr>
                      <w:rFonts w:ascii="Cambria Math" w:hAnsi="Cambria Math"/>
                    </w:rPr>
                    <m:t>J</m:t>
                  </m:r>
                </m:sub>
              </m:sSub>
            </m:oMath>
          </w:p>
        </w:tc>
        <w:tc>
          <w:tcPr>
            <w:tcW w:w="2976" w:type="dxa"/>
            <w:tcBorders>
              <w:top w:val="nil"/>
              <w:left w:val="nil"/>
              <w:bottom w:val="nil"/>
              <w:right w:val="nil"/>
            </w:tcBorders>
            <w:tcMar>
              <w:top w:w="90" w:type="dxa"/>
              <w:left w:w="90" w:type="dxa"/>
              <w:bottom w:w="90" w:type="dxa"/>
              <w:right w:w="90" w:type="dxa"/>
            </w:tcMar>
          </w:tcPr>
          <w:p w14:paraId="6F54B626">
            <w:pPr>
              <w:spacing w:before="40" w:after="40" w:line="252" w:lineRule="auto"/>
            </w:pPr>
            <w:r>
              <w:rPr>
                <w:b w:val="0"/>
                <w:sz w:val="21"/>
              </w:rPr>
              <w:t>−0.224</w:t>
            </w:r>
          </w:p>
        </w:tc>
        <w:tc>
          <w:tcPr>
            <w:tcW w:w="2976" w:type="dxa"/>
            <w:tcBorders>
              <w:top w:val="nil"/>
              <w:left w:val="nil"/>
              <w:bottom w:val="nil"/>
              <w:right w:val="nil"/>
            </w:tcBorders>
            <w:tcMar>
              <w:top w:w="90" w:type="dxa"/>
              <w:left w:w="90" w:type="dxa"/>
              <w:bottom w:w="90" w:type="dxa"/>
              <w:right w:w="90" w:type="dxa"/>
            </w:tcMar>
          </w:tcPr>
          <w:p w14:paraId="7E1D93A1">
            <w:pPr>
              <w:spacing w:before="40" w:after="40" w:line="252" w:lineRule="auto"/>
            </w:pPr>
            <w:r>
              <w:rPr>
                <w:b w:val="0"/>
                <w:sz w:val="21"/>
              </w:rPr>
              <w:t>+1.535</w:t>
            </w:r>
          </w:p>
        </w:tc>
      </w:tr>
      <w:tr w14:paraId="29641743">
        <w:tblPrEx>
          <w:tblCellMar>
            <w:top w:w="0" w:type="dxa"/>
            <w:left w:w="108" w:type="dxa"/>
            <w:bottom w:w="0" w:type="dxa"/>
            <w:right w:w="108" w:type="dxa"/>
          </w:tblCellMar>
        </w:tblPrEx>
        <w:trPr>
          <w:cantSplit/>
        </w:trPr>
        <w:tc>
          <w:tcPr>
            <w:tcW w:w="3685" w:type="dxa"/>
            <w:tcBorders>
              <w:top w:val="nil"/>
              <w:left w:val="nil"/>
              <w:bottom w:val="nil"/>
              <w:right w:val="nil"/>
            </w:tcBorders>
            <w:tcMar>
              <w:top w:w="90" w:type="dxa"/>
              <w:left w:w="90" w:type="dxa"/>
              <w:bottom w:w="90" w:type="dxa"/>
              <w:right w:w="90" w:type="dxa"/>
            </w:tcMar>
          </w:tcPr>
          <w:p w14:paraId="09A51034">
            <w:pPr>
              <w:spacing w:before="40" w:after="40" w:line="252" w:lineRule="auto"/>
            </w:pPr>
            <m:oMath>
              <m:sSub>
                <m:sSubPr/>
                <m:e>
                  <m:r>
                    <m:rPr>
                      <m:sty m:val="p"/>
                    </m:rPr>
                    <w:rPr>
                      <w:rFonts w:ascii="Cambria Math" w:hAnsi="Cambria Math"/>
                    </w:rPr>
                    <m:t>TRI</m:t>
                  </m:r>
                </m:e>
                <m:sub>
                  <m:r>
                    <m:rPr>
                      <m:sty m:val="p"/>
                    </m:rPr>
                    <w:rPr>
                      <w:rFonts w:ascii="Cambria Math" w:hAnsi="Cambria Math"/>
                    </w:rPr>
                    <m:t>L</m:t>
                  </m:r>
                </m:sub>
              </m:sSub>
            </m:oMath>
            <w:r>
              <w:rPr>
                <w:b w:val="0"/>
                <w:sz w:val="21"/>
              </w:rPr>
              <w:t>E_TRI_L：TRI_L − DUP_L（独立匹配）</w:t>
            </w:r>
            <m:oMath>
              <m:sSub>
                <m:sSubPr/>
                <m:e>
                  <m:r>
                    <m:rPr>
                      <m:sty m:val="p"/>
                    </m:rPr>
                    <w:rPr>
                      <w:rFonts w:ascii="Cambria Math" w:hAnsi="Cambria Math"/>
                    </w:rPr>
                    <m:t>DUP</m:t>
                  </m:r>
                </m:e>
                <m:sub>
                  <m:r>
                    <m:rPr>
                      <m:sty m:val="p"/>
                    </m:rPr>
                    <w:rPr>
                      <w:rFonts w:ascii="Cambria Math" w:hAnsi="Cambria Math"/>
                    </w:rPr>
                    <m:t>L</m:t>
                  </m:r>
                </m:sub>
              </m:sSub>
            </m:oMath>
          </w:p>
        </w:tc>
        <w:tc>
          <w:tcPr>
            <w:tcW w:w="2976" w:type="dxa"/>
            <w:tcBorders>
              <w:top w:val="nil"/>
              <w:left w:val="nil"/>
              <w:bottom w:val="nil"/>
              <w:right w:val="nil"/>
            </w:tcBorders>
            <w:tcMar>
              <w:top w:w="90" w:type="dxa"/>
              <w:left w:w="90" w:type="dxa"/>
              <w:bottom w:w="90" w:type="dxa"/>
              <w:right w:w="90" w:type="dxa"/>
            </w:tcMar>
          </w:tcPr>
          <w:p w14:paraId="437F6A7A">
            <w:pPr>
              <w:spacing w:before="40" w:after="40" w:line="252" w:lineRule="auto"/>
            </w:pPr>
            <w:r>
              <w:rPr>
                <w:b w:val="0"/>
                <w:sz w:val="21"/>
              </w:rPr>
              <w:t>+0.548</w:t>
            </w:r>
          </w:p>
        </w:tc>
        <w:tc>
          <w:tcPr>
            <w:tcW w:w="2976" w:type="dxa"/>
            <w:tcBorders>
              <w:top w:val="nil"/>
              <w:left w:val="nil"/>
              <w:bottom w:val="nil"/>
              <w:right w:val="nil"/>
            </w:tcBorders>
            <w:tcMar>
              <w:top w:w="90" w:type="dxa"/>
              <w:left w:w="90" w:type="dxa"/>
              <w:bottom w:w="90" w:type="dxa"/>
              <w:right w:w="90" w:type="dxa"/>
            </w:tcMar>
          </w:tcPr>
          <w:p w14:paraId="6C45F47C">
            <w:pPr>
              <w:spacing w:before="40" w:after="40" w:line="252" w:lineRule="auto"/>
            </w:pPr>
            <w:r>
              <w:rPr>
                <w:b w:val="0"/>
                <w:sz w:val="21"/>
              </w:rPr>
              <w:t>+1.487</w:t>
            </w:r>
          </w:p>
        </w:tc>
      </w:tr>
      <w:tr w14:paraId="57288E60">
        <w:tblPrEx>
          <w:tblCellMar>
            <w:top w:w="0" w:type="dxa"/>
            <w:left w:w="108" w:type="dxa"/>
            <w:bottom w:w="0" w:type="dxa"/>
            <w:right w:w="108" w:type="dxa"/>
          </w:tblCellMar>
        </w:tblPrEx>
        <w:trPr>
          <w:cantSplit/>
        </w:trPr>
        <w:tc>
          <w:tcPr>
            <w:tcW w:w="3685" w:type="dxa"/>
            <w:tcBorders>
              <w:top w:val="nil"/>
              <w:left w:val="nil"/>
              <w:bottom w:val="nil"/>
              <w:right w:val="nil"/>
            </w:tcBorders>
            <w:tcMar>
              <w:top w:w="90" w:type="dxa"/>
              <w:left w:w="90" w:type="dxa"/>
              <w:bottom w:w="90" w:type="dxa"/>
              <w:right w:w="90" w:type="dxa"/>
            </w:tcMar>
          </w:tcPr>
          <w:p w14:paraId="55C25A00">
            <w:pPr>
              <w:spacing w:before="40" w:after="40" w:line="252" w:lineRule="auto"/>
            </w:pPr>
            <m:oMath>
              <m:sSub>
                <m:sSubPr/>
                <m:e>
                  <m:r>
                    <m:rPr>
                      <m:sty m:val="p"/>
                    </m:rPr>
                    <w:rPr>
                      <w:rFonts w:ascii="Cambria Math" w:hAnsi="Cambria Math"/>
                    </w:rPr>
                    <m:t>BAL</m:t>
                  </m:r>
                </m:e>
                <m:sub>
                  <m:r>
                    <m:rPr>
                      <m:sty m:val="p"/>
                    </m:rPr>
                    <w:rPr>
                      <w:rFonts w:ascii="Cambria Math" w:hAnsi="Cambria Math"/>
                    </w:rPr>
                    <m:t>J</m:t>
                  </m:r>
                </m:sub>
              </m:sSub>
            </m:oMath>
            <w:r>
              <w:rPr>
                <w:b w:val="0"/>
                <w:sz w:val="21"/>
              </w:rPr>
              <w:t>E_BAL_J：BAL_J − A1_J（共同匹配）</w:t>
            </w:r>
            <m:oMath>
              <m:sSub>
                <m:sSubPr/>
                <m:e>
                  <m:r>
                    <m:rPr>
                      <m:sty m:val="p"/>
                    </m:rPr>
                    <w:rPr>
                      <w:rFonts w:ascii="Cambria Math" w:hAnsi="Cambria Math"/>
                    </w:rPr>
                    <m:t>A1</m:t>
                  </m:r>
                </m:e>
                <m:sub>
                  <m:r>
                    <m:rPr>
                      <m:sty m:val="p"/>
                    </m:rPr>
                    <w:rPr>
                      <w:rFonts w:ascii="Cambria Math" w:hAnsi="Cambria Math"/>
                    </w:rPr>
                    <m:t>J</m:t>
                  </m:r>
                </m:sub>
              </m:sSub>
            </m:oMath>
          </w:p>
        </w:tc>
        <w:tc>
          <w:tcPr>
            <w:tcW w:w="2976" w:type="dxa"/>
            <w:tcBorders>
              <w:top w:val="nil"/>
              <w:left w:val="nil"/>
              <w:bottom w:val="nil"/>
              <w:right w:val="nil"/>
            </w:tcBorders>
            <w:tcMar>
              <w:top w:w="90" w:type="dxa"/>
              <w:left w:w="90" w:type="dxa"/>
              <w:bottom w:w="90" w:type="dxa"/>
              <w:right w:w="90" w:type="dxa"/>
            </w:tcMar>
          </w:tcPr>
          <w:p w14:paraId="13F6D6B2">
            <w:pPr>
              <w:spacing w:before="40" w:after="40" w:line="252" w:lineRule="auto"/>
            </w:pPr>
            <w:r>
              <w:rPr>
                <w:b w:val="0"/>
                <w:sz w:val="21"/>
              </w:rPr>
              <w:t>−0.510</w:t>
            </w:r>
          </w:p>
        </w:tc>
        <w:tc>
          <w:tcPr>
            <w:tcW w:w="2976" w:type="dxa"/>
            <w:tcBorders>
              <w:top w:val="nil"/>
              <w:left w:val="nil"/>
              <w:bottom w:val="nil"/>
              <w:right w:val="nil"/>
            </w:tcBorders>
            <w:tcMar>
              <w:top w:w="90" w:type="dxa"/>
              <w:left w:w="90" w:type="dxa"/>
              <w:bottom w:w="90" w:type="dxa"/>
              <w:right w:w="90" w:type="dxa"/>
            </w:tcMar>
          </w:tcPr>
          <w:p w14:paraId="51E99E52">
            <w:pPr>
              <w:spacing w:before="40" w:after="40" w:line="252" w:lineRule="auto"/>
            </w:pPr>
            <w:r>
              <w:rPr>
                <w:b w:val="0"/>
                <w:sz w:val="21"/>
              </w:rPr>
              <w:t>+0.962</w:t>
            </w:r>
          </w:p>
        </w:tc>
      </w:tr>
      <w:tr w14:paraId="32413C54">
        <w:tblPrEx>
          <w:tblCellMar>
            <w:top w:w="0" w:type="dxa"/>
            <w:left w:w="108" w:type="dxa"/>
            <w:bottom w:w="0" w:type="dxa"/>
            <w:right w:w="108" w:type="dxa"/>
          </w:tblCellMar>
        </w:tblPrEx>
        <w:trPr>
          <w:cantSplit/>
        </w:trPr>
        <w:tc>
          <w:tcPr>
            <w:tcW w:w="3685" w:type="dxa"/>
            <w:tcBorders>
              <w:top w:val="nil"/>
              <w:left w:val="nil"/>
              <w:bottom w:val="single" w:color="000000" w:sz="8" w:space="0"/>
              <w:right w:val="nil"/>
            </w:tcBorders>
            <w:tcMar>
              <w:top w:w="90" w:type="dxa"/>
              <w:left w:w="90" w:type="dxa"/>
              <w:bottom w:w="90" w:type="dxa"/>
              <w:right w:w="90" w:type="dxa"/>
            </w:tcMar>
          </w:tcPr>
          <w:p w14:paraId="269EAC20">
            <w:pPr>
              <w:spacing w:before="40" w:after="40" w:line="252" w:lineRule="auto"/>
            </w:pPr>
            <m:oMath>
              <m:sSub>
                <m:sSubPr/>
                <m:e>
                  <m:r>
                    <m:rPr>
                      <m:sty m:val="p"/>
                    </m:rPr>
                    <w:rPr>
                      <w:rFonts w:ascii="Cambria Math" w:hAnsi="Cambria Math"/>
                    </w:rPr>
                    <m:t>BAL</m:t>
                  </m:r>
                </m:e>
                <m:sub>
                  <m:r>
                    <m:rPr>
                      <m:sty m:val="p"/>
                    </m:rPr>
                    <w:rPr>
                      <w:rFonts w:ascii="Cambria Math" w:hAnsi="Cambria Math"/>
                    </w:rPr>
                    <m:t>L</m:t>
                  </m:r>
                </m:sub>
              </m:sSub>
            </m:oMath>
            <w:r>
              <w:rPr>
                <w:b w:val="0"/>
                <w:sz w:val="21"/>
              </w:rPr>
              <w:t>E_BAL_L：BAL_L − A1_L（独立匹配）</w:t>
            </w:r>
            <m:oMath>
              <m:sSub>
                <m:sSubPr/>
                <m:e>
                  <m:r>
                    <m:rPr>
                      <m:sty m:val="p"/>
                    </m:rPr>
                    <w:rPr>
                      <w:rFonts w:ascii="Cambria Math" w:hAnsi="Cambria Math"/>
                    </w:rPr>
                    <m:t>A1</m:t>
                  </m:r>
                </m:e>
                <m:sub>
                  <m:r>
                    <m:rPr>
                      <m:sty m:val="p"/>
                    </m:rPr>
                    <w:rPr>
                      <w:rFonts w:ascii="Cambria Math" w:hAnsi="Cambria Math"/>
                    </w:rPr>
                    <m:t>L</m:t>
                  </m:r>
                </m:sub>
              </m:sSub>
            </m:oMath>
          </w:p>
        </w:tc>
        <w:tc>
          <w:tcPr>
            <w:tcW w:w="2976" w:type="dxa"/>
            <w:tcBorders>
              <w:top w:val="nil"/>
              <w:left w:val="nil"/>
              <w:bottom w:val="single" w:color="000000" w:sz="8" w:space="0"/>
              <w:right w:val="nil"/>
            </w:tcBorders>
            <w:tcMar>
              <w:top w:w="90" w:type="dxa"/>
              <w:left w:w="90" w:type="dxa"/>
              <w:bottom w:w="90" w:type="dxa"/>
              <w:right w:w="90" w:type="dxa"/>
            </w:tcMar>
          </w:tcPr>
          <w:p w14:paraId="543AED92">
            <w:pPr>
              <w:spacing w:before="40" w:after="40" w:line="252" w:lineRule="auto"/>
            </w:pPr>
            <w:r>
              <w:rPr>
                <w:b w:val="0"/>
                <w:sz w:val="21"/>
              </w:rPr>
              <w:t>+0.085</w:t>
            </w:r>
          </w:p>
        </w:tc>
        <w:tc>
          <w:tcPr>
            <w:tcW w:w="2976" w:type="dxa"/>
            <w:tcBorders>
              <w:top w:val="nil"/>
              <w:left w:val="nil"/>
              <w:bottom w:val="single" w:color="000000" w:sz="8" w:space="0"/>
              <w:right w:val="nil"/>
            </w:tcBorders>
            <w:tcMar>
              <w:top w:w="90" w:type="dxa"/>
              <w:left w:w="90" w:type="dxa"/>
              <w:bottom w:w="90" w:type="dxa"/>
              <w:right w:w="90" w:type="dxa"/>
            </w:tcMar>
          </w:tcPr>
          <w:p w14:paraId="1285EFE8">
            <w:pPr>
              <w:spacing w:before="40" w:after="40" w:line="252" w:lineRule="auto"/>
            </w:pPr>
            <w:r>
              <w:rPr>
                <w:b w:val="0"/>
                <w:sz w:val="21"/>
              </w:rPr>
              <w:t>+0.845</w:t>
            </w:r>
          </w:p>
        </w:tc>
      </w:tr>
    </w:tbl>
    <w:p w14:paraId="28F7D1CD">
      <w:pPr>
        <w:spacing w:after="0"/>
      </w:pPr>
      <w:r>
        <w:t>表征替换对照（步长 8，类别宏平均像素 AP，单位：百分点；BTAD 为坐标修正口径）</w:t>
      </w:r>
    </w:p>
    <w:p w14:paraId="2BF2FE5F">
      <w:r>
        <w:t>这张表表明新增 S 的作用不能用单一平均结论概括，并且必须与区间一起读：MPDD 的 E_TRI_L 点估计为正（+0.548 个百分点）但 95% 区间 [−0.092, +1.159] 含零，E_TRI_J 为 −0.224 个百分点，因此 MPDD 上只能说「独立匹配下相对改善明确、绝对正收益尚不明确」；BTAD 上四项表征效应区间均不含零（+0.854 至+1.552 个百分点），说明 S 本身有新增表征收益，但该收益并不依赖匹配方式（交互区间含零）。行间正负或各自显著性不能用来判断交互，交互必须直接估计，见 4.2.4。</w:t>
      </w:r>
    </w:p>
    <w:p w14:paraId="1865D7A5">
      <w:pPr>
        <w:pStyle w:val="5"/>
      </w:pPr>
      <w:r>
        <w:t>4.2.4 表征与匹配的直接交互</w:t>
      </w:r>
    </w:p>
    <w:p w14:paraId="3230C2F9">
      <w:r>
        <w:t>这是新主题的核心结果节。直接交互 I = E_L − E_J 按数据集、配对条件逐复制计算后再聚合。步长 8 的结果为：MPDD 上 I_TRI 点差 +0.772、均值 +0.762 个百分点，95% 区间 [+0.426, +1.118]，98.75% 家族区间 [+0.346, +1.211]；I_BAL 点差 +0.595、均值 +0.615，95% 区间 [+0.322, +0.927]，家族区间 [+0.189, +1.030]，两项均不含零并达到本项目 0.5 个百分点的实用参考尺度。BTAD（坐标修正口径）上 I_TRI 均值 −0.021、区间 [−0.192, +0.186]，I_BAL 均值 −0.089、区间 [−0.265, +0.110]，两项均含零且远低于尺度。全像素口径的四项点估计为 +0.786 / +0.601（MPDD）与 −0.043 / −0.112（BTAD）个百分点，方向与步长 8 一致，但全像素没有区间，只用于方向核对。</w:t>
      </w:r>
      <m:oMath>
        <m:sSub>
          <m:sSubPr/>
          <m:e>
            <m:r>
              <m:rPr/>
              <w:rPr>
                <w:rFonts w:ascii="Cambria Math" w:hAnsi="Cambria Math"/>
              </w:rPr>
              <m:t>I</m:t>
            </m:r>
          </m:e>
          <m:sub>
            <m:r>
              <m:rPr>
                <m:sty m:val="p"/>
              </m:rPr>
              <w:rPr>
                <w:rFonts w:ascii="Cambria Math" w:hAnsi="Cambria Math"/>
              </w:rPr>
              <m:t>TRI</m:t>
            </m:r>
          </m:sub>
        </m:sSub>
      </m:oMath>
      <w:r/>
      <m:oMath>
        <m:sSub>
          <m:sSubPr/>
          <m:e>
            <m:r>
              <m:rPr/>
              <w:rPr>
                <w:rFonts w:ascii="Cambria Math" w:hAnsi="Cambria Math"/>
              </w:rPr>
              <m:t>I</m:t>
            </m:r>
          </m:e>
          <m:sub>
            <m:r>
              <m:rPr>
                <m:sty m:val="p"/>
              </m:rPr>
              <w:rPr>
                <w:rFonts w:ascii="Cambria Math" w:hAnsi="Cambria Math"/>
              </w:rPr>
              <m:t>BAL</m:t>
            </m:r>
          </m:sub>
        </m:sSub>
      </m:oMath>
      <w:r/>
      <m:oMath>
        <m:sSub>
          <m:sSubPr/>
          <m:e>
            <m:r>
              <m:rPr/>
              <w:rPr>
                <w:rFonts w:ascii="Cambria Math" w:hAnsi="Cambria Math"/>
              </w:rPr>
              <m:t>E</m:t>
            </m:r>
          </m:e>
          <m:sub>
            <m:r>
              <m:rPr>
                <m:sty m:val="p"/>
              </m:rPr>
              <w:rPr>
                <w:rFonts w:ascii="Cambria Math" w:hAnsi="Cambria Math"/>
              </w:rPr>
              <m:t>L</m:t>
            </m:r>
          </m:sub>
        </m:sSub>
      </m:oMath>
      <w:r/>
    </w:p>
    <w:p w14:paraId="1D9420FF">
      <w:pPr/>
      <m:oMath>
        <m:sSub>
          <m:sSubPr/>
          <m:e>
            <m:r>
              <m:rPr/>
              <w:rPr>
                <w:rFonts w:ascii="Cambria Math" w:hAnsi="Cambria Math"/>
              </w:rPr>
              <m:t>E</m:t>
            </m:r>
          </m:e>
          <m:sub>
            <m:r>
              <m:rPr>
                <m:sty m:val="p"/>
              </m:rPr>
              <w:rPr>
                <w:rFonts w:ascii="Cambria Math" w:hAnsi="Cambria Math"/>
              </w:rPr>
              <m:t>L</m:t>
            </m:r>
          </m:sub>
        </m:sSub>
      </m:oMath>
      <m:oMath>
        <m:sSub>
          <m:sSubPr/>
          <m:e>
            <m:r>
              <m:rPr/>
              <w:rPr>
                <w:rFonts w:ascii="Cambria Math" w:hAnsi="Cambria Math"/>
              </w:rPr>
              <m:t>E</m:t>
            </m:r>
          </m:e>
          <m:sub>
            <m:r>
              <m:rPr>
                <m:sty m:val="p"/>
              </m:rPr>
              <w:rPr>
                <w:rFonts w:ascii="Cambria Math" w:hAnsi="Cambria Math"/>
              </w:rPr>
              <m:t>L</m:t>
            </m:r>
          </m:sub>
        </m:sSub>
      </m:oMath>
      <w:r>
        <w:t>按上述判据落位：MPDD 的 I 为正，且独立匹配下 E_L 点估计为正但区间含零，因此写「独立匹配减轻了替换损失、相对改善明确，绝对正收益尚不明确」；BTAD 的交互区间跨零，写「证据不足」，同时注明其负向与类别 02、K4/K8 相关。不能将「不显著」写成无影响或统计等价。</w:t>
      </w:r>
    </w:p>
    <w:p w14:paraId="1D9420FF">
      <w:r>
        <w:t>下表给出同一 seed/K 范围（seed 0/1、K 1/4，BTAD 采用坐标修正口径）下两个编码器的交互、其配对差值，以及全像素点估计。差值在同一次复制内相减后再取分位数；四种组合构成一个家族，同时报 95% 与 98.75% 区间。结论落位：BTAD 上 D 的交互显著大于 S，MPDD 上两者不可区分，因此写「匹配方式的作用依赖编码器与数据条件」，而不是新编码器整体更优。</w:t>
      </w:r>
      <m:oMath>
        <m:sSub>
          <m:sSubPr/>
          <m:e>
            <m:r>
              <m:rPr/>
              <w:rPr>
                <w:rFonts w:ascii="Cambria Math" w:hAnsi="Cambria Math"/>
              </w:rPr>
              <m:t>E</m:t>
            </m:r>
          </m:e>
          <m:sub>
            <m:r>
              <m:rPr>
                <m:sty m:val="p"/>
              </m:rPr>
              <w:rPr>
                <w:rFonts w:ascii="Cambria Math" w:hAnsi="Cambria Math"/>
              </w:rPr>
              <m:t>L</m:t>
            </m:r>
          </m:sub>
        </m:sSub>
      </m:oMath>
      <w:r/>
      <m:oMath>
        <m:sSub>
          <m:sSubPr/>
          <m:e>
            <m:r>
              <m:rPr/>
              <w:rPr>
                <w:rFonts w:ascii="Cambria Math" w:hAnsi="Cambria Math"/>
              </w:rPr>
              <m:t>E</m:t>
            </m:r>
          </m:e>
          <m:sub>
            <m:r>
              <m:rPr>
                <m:sty m:val="p"/>
              </m:rPr>
              <w:rPr>
                <w:rFonts w:ascii="Cambria Math" w:hAnsi="Cambria Math"/>
              </w:rPr>
              <m:t>L</m:t>
            </m:r>
          </m:sub>
        </m:sSub>
      </m:oMath>
      <w:r/>
    </w:p>
    <w:tbl>
      <w:tblPr>
        <w:tblStyle w:val="33"/>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t>数据集</w:t>
            </w:r>
          </w:p>
        </w:tc>
        <w:tc>
          <w:tcPr>
            <w:tcW w:type="dxa" w:w="1377"/>
          </w:tcPr>
          <w:p>
            <w:r>
              <w:t>交互</w:t>
            </w:r>
          </w:p>
        </w:tc>
        <w:tc>
          <w:tcPr>
            <w:tcW w:type="dxa" w:w="1377"/>
          </w:tcPr>
          <w:p>
            <w:r>
              <w:t>S 点估计</w:t>
            </w:r>
          </w:p>
        </w:tc>
        <w:tc>
          <w:tcPr>
            <w:tcW w:type="dxa" w:w="1377"/>
          </w:tcPr>
          <w:p>
            <w:r>
              <w:t>S 区间（95%）</w:t>
            </w:r>
          </w:p>
        </w:tc>
        <w:tc>
          <w:tcPr>
            <w:tcW w:type="dxa" w:w="1377"/>
          </w:tcPr>
          <w:p>
            <w:r>
              <w:t>D 点估计</w:t>
            </w:r>
          </w:p>
        </w:tc>
        <w:tc>
          <w:tcPr>
            <w:tcW w:type="dxa" w:w="1377"/>
          </w:tcPr>
          <w:p>
            <w:r>
              <w:t>D 区间（95%）</w:t>
            </w:r>
          </w:p>
        </w:tc>
        <w:tc>
          <w:tcPr>
            <w:tcW w:type="dxa" w:w="1377"/>
          </w:tcPr>
          <w:p>
            <w:r>
              <w:t>全像素点估计（S / D）</w:t>
            </w:r>
          </w:p>
        </w:tc>
      </w:tr>
      <w:tr>
        <w:tc>
          <w:tcPr>
            <w:tcW w:type="dxa" w:w="1377"/>
          </w:tcPr>
          <w:p>
            <w:r>
              <w:t>MPDD</w:t>
            </w:r>
          </w:p>
        </w:tc>
        <w:tc>
          <w:tcPr>
            <w:tcW w:type="dxa" w:w="1377"/>
          </w:tcPr>
          <w:p>
            <w:r>
              <w:t>I_TRI</w:t>
            </w:r>
          </w:p>
        </w:tc>
        <w:tc>
          <w:tcPr>
            <w:tcW w:type="dxa" w:w="1377"/>
          </w:tcPr>
          <w:p>
            <w:r>
              <w:t>+0.767</w:t>
            </w:r>
          </w:p>
        </w:tc>
        <w:tc>
          <w:tcPr>
            <w:tcW w:type="dxa" w:w="1377"/>
          </w:tcPr>
          <w:p>
            <w:r>
              <w:t>[+0.275, +1.063]</w:t>
            </w:r>
          </w:p>
        </w:tc>
        <w:tc>
          <w:tcPr>
            <w:tcW w:type="dxa" w:w="1377"/>
          </w:tcPr>
          <w:p>
            <w:r>
              <w:t>+0.973</w:t>
            </w:r>
          </w:p>
        </w:tc>
        <w:tc>
          <w:tcPr>
            <w:tcW w:type="dxa" w:w="1377"/>
          </w:tcPr>
          <w:p>
            <w:r>
              <w:t>[+0.601, +1.471]</w:t>
            </w:r>
          </w:p>
        </w:tc>
        <w:tc>
          <w:tcPr>
            <w:tcW w:type="dxa" w:w="1377"/>
          </w:tcPr>
          <w:p>
            <w:r>
              <w:t>+0.768 / +1.032</w:t>
            </w:r>
          </w:p>
        </w:tc>
      </w:tr>
      <w:tr>
        <w:tc>
          <w:tcPr>
            <w:tcW w:type="dxa" w:w="1377"/>
          </w:tcPr>
          <w:p>
            <w:r>
              <w:t>MPDD</w:t>
            </w:r>
          </w:p>
        </w:tc>
        <w:tc>
          <w:tcPr>
            <w:tcW w:type="dxa" w:w="1377"/>
          </w:tcPr>
          <w:p>
            <w:r>
              <w:t>I_BAL</w:t>
            </w:r>
          </w:p>
        </w:tc>
        <w:tc>
          <w:tcPr>
            <w:tcW w:type="dxa" w:w="1377"/>
          </w:tcPr>
          <w:p>
            <w:r>
              <w:t>+0.546</w:t>
            </w:r>
          </w:p>
        </w:tc>
        <w:tc>
          <w:tcPr>
            <w:tcW w:type="dxa" w:w="1377"/>
          </w:tcPr>
          <w:p>
            <w:r>
              <w:t>[+0.179, +0.863]</w:t>
            </w:r>
          </w:p>
        </w:tc>
        <w:tc>
          <w:tcPr>
            <w:tcW w:type="dxa" w:w="1377"/>
          </w:tcPr>
          <w:p>
            <w:r>
              <w:t>+0.628</w:t>
            </w:r>
          </w:p>
        </w:tc>
        <w:tc>
          <w:tcPr>
            <w:tcW w:type="dxa" w:w="1377"/>
          </w:tcPr>
          <w:p>
            <w:r>
              <w:t>[+0.278, +1.218]</w:t>
            </w:r>
          </w:p>
        </w:tc>
        <w:tc>
          <w:tcPr>
            <w:tcW w:type="dxa" w:w="1377"/>
          </w:tcPr>
          <w:p>
            <w:r>
              <w:t>+0.619 / +0.694</w:t>
            </w:r>
          </w:p>
        </w:tc>
      </w:tr>
      <w:tr>
        <w:tc>
          <w:tcPr>
            <w:tcW w:type="dxa" w:w="1377"/>
          </w:tcPr>
          <w:p>
            <w:r>
              <w:t>BTAD</w:t>
            </w:r>
          </w:p>
        </w:tc>
        <w:tc>
          <w:tcPr>
            <w:tcW w:type="dxa" w:w="1377"/>
          </w:tcPr>
          <w:p>
            <w:r>
              <w:t>I_TRI</w:t>
            </w:r>
          </w:p>
        </w:tc>
        <w:tc>
          <w:tcPr>
            <w:tcW w:type="dxa" w:w="1377"/>
          </w:tcPr>
          <w:p>
            <w:r>
              <w:t>−0.008</w:t>
            </w:r>
          </w:p>
        </w:tc>
        <w:tc>
          <w:tcPr>
            <w:tcW w:type="dxa" w:w="1377"/>
          </w:tcPr>
          <w:p>
            <w:r>
              <w:t>[−0.150, +0.239]</w:t>
            </w:r>
          </w:p>
        </w:tc>
        <w:tc>
          <w:tcPr>
            <w:tcW w:type="dxa" w:w="1377"/>
          </w:tcPr>
          <w:p>
            <w:r>
              <w:t>+0.621</w:t>
            </w:r>
          </w:p>
        </w:tc>
        <w:tc>
          <w:tcPr>
            <w:tcW w:type="dxa" w:w="1377"/>
          </w:tcPr>
          <w:p>
            <w:r>
              <w:t>[+0.373, +0.917]</w:t>
            </w:r>
          </w:p>
        </w:tc>
        <w:tc>
          <w:tcPr>
            <w:tcW w:type="dxa" w:w="1377"/>
          </w:tcPr>
          <w:p>
            <w:r>
              <w:t>+0.008 / +0.623</w:t>
            </w:r>
          </w:p>
        </w:tc>
      </w:tr>
      <w:tr>
        <w:tc>
          <w:tcPr>
            <w:tcW w:type="dxa" w:w="1377"/>
          </w:tcPr>
          <w:p>
            <w:r>
              <w:t>BTAD</w:t>
            </w:r>
          </w:p>
        </w:tc>
        <w:tc>
          <w:tcPr>
            <w:tcW w:type="dxa" w:w="1377"/>
          </w:tcPr>
          <w:p>
            <w:r>
              <w:t>I_BAL</w:t>
            </w:r>
          </w:p>
        </w:tc>
        <w:tc>
          <w:tcPr>
            <w:tcW w:type="dxa" w:w="1377"/>
          </w:tcPr>
          <w:p>
            <w:r>
              <w:t>−0.080</w:t>
            </w:r>
          </w:p>
        </w:tc>
        <w:tc>
          <w:tcPr>
            <w:tcW w:type="dxa" w:w="1377"/>
          </w:tcPr>
          <w:p>
            <w:r>
              <w:t>[−0.230, +0.154]</w:t>
            </w:r>
          </w:p>
        </w:tc>
        <w:tc>
          <w:tcPr>
            <w:tcW w:type="dxa" w:w="1377"/>
          </w:tcPr>
          <w:p>
            <w:r>
              <w:t>+0.501</w:t>
            </w:r>
          </w:p>
        </w:tc>
        <w:tc>
          <w:tcPr>
            <w:tcW w:type="dxa" w:w="1377"/>
          </w:tcPr>
          <w:p>
            <w:r>
              <w:t>[+0.238, +0.882]</w:t>
            </w:r>
          </w:p>
        </w:tc>
        <w:tc>
          <w:tcPr>
            <w:tcW w:type="dxa" w:w="1377"/>
          </w:tcPr>
          <w:p>
            <w:r>
              <w:t>−0.079 / +0.495</w:t>
            </w:r>
          </w:p>
        </w:tc>
      </w:tr>
    </w:tbl>
    <w:p w14:paraId="1D9420FF">
      <w:pPr/>
      <m:oMath>
        <m:sSub>
          <m:sSubPr/>
          <m:e>
            <m:r>
              <m:rPr/>
              <w:rPr>
                <w:rFonts w:ascii="Cambria Math" w:hAnsi="Cambria Math"/>
              </w:rPr>
              <m:t>E</m:t>
            </m:r>
          </m:e>
          <m:sub>
            <m:r>
              <m:rPr>
                <m:sty m:val="p"/>
              </m:rPr>
              <w:rPr>
                <w:rFonts w:ascii="Cambria Math" w:hAnsi="Cambria Math"/>
              </w:rPr>
              <m:t>L</m:t>
            </m:r>
          </m:sub>
        </m:sSub>
      </m:oMath>
      <m:oMath>
        <m:sSub>
          <m:sSubPr/>
          <m:e>
            <m:r>
              <m:rPr/>
              <w:rPr>
                <w:rFonts w:ascii="Cambria Math" w:hAnsi="Cambria Math"/>
              </w:rPr>
              <m:t>E</m:t>
            </m:r>
          </m:e>
          <m:sub>
            <m:r>
              <m:rPr>
                <m:sty m:val="p"/>
              </m:rPr>
              <w:rPr>
                <w:rFonts w:ascii="Cambria Math" w:hAnsi="Cambria Math"/>
              </w:rPr>
              <m:t>L</m:t>
            </m:r>
          </m:sub>
        </m:sSub>
      </m:oMath>
      <w:r>
        <w:t>表 4s：同一 seed/K 范围（seed 0/1、K 1/4）下两个编码器的交互对比。S = DINOv2-S，D = 预先指定的 WideResNet50-2；点估计与区间为步长 8 的像素 AP（单位：百分点），区间来自图像级配对重采样（1000 次复制）；全像素列为步长 1 的点估计，只用于方向核对，没有区间。BTAD 使用坐标修正口径。</w:t>
      </w:r>
    </w:p>
    <w:tbl>
      <w:tblPr>
        <w:tblStyle w:val="33"/>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r>
              <w:t>对照</w:t>
            </w:r>
          </w:p>
        </w:tc>
        <w:tc>
          <w:tcPr>
            <w:tcW w:type="dxa" w:w="1205"/>
          </w:tcPr>
          <w:p>
            <w:r>
              <w:t>MPDD 差值</w:t>
            </w:r>
          </w:p>
        </w:tc>
        <w:tc>
          <w:tcPr>
            <w:tcW w:type="dxa" w:w="1205"/>
          </w:tcPr>
          <w:p>
            <w:r>
              <w:t>MPDD 95% 区间</w:t>
            </w:r>
          </w:p>
        </w:tc>
        <w:tc>
          <w:tcPr>
            <w:tcW w:type="dxa" w:w="1205"/>
          </w:tcPr>
          <w:p>
            <w:r>
              <w:t>MPDD 98.75% 区间</w:t>
            </w:r>
          </w:p>
        </w:tc>
        <w:tc>
          <w:tcPr>
            <w:tcW w:type="dxa" w:w="1205"/>
          </w:tcPr>
          <w:p>
            <w:r>
              <w:t>BTAD 差值</w:t>
            </w:r>
          </w:p>
        </w:tc>
        <w:tc>
          <w:tcPr>
            <w:tcW w:type="dxa" w:w="1205"/>
          </w:tcPr>
          <w:p>
            <w:r>
              <w:t>BTAD 95% 区间</w:t>
            </w:r>
          </w:p>
        </w:tc>
        <w:tc>
          <w:tcPr>
            <w:tcW w:type="dxa" w:w="1205"/>
          </w:tcPr>
          <w:p>
            <w:r>
              <w:t>BTAD 98.75% 区间</w:t>
            </w:r>
          </w:p>
        </w:tc>
        <w:tc>
          <w:tcPr>
            <w:tcW w:type="dxa" w:w="1205"/>
          </w:tcPr>
          <w:p>
            <w:r>
              <w:t>全像素点估计（MPDD / BTAD）</w:t>
            </w:r>
          </w:p>
        </w:tc>
      </w:tr>
      <w:tr>
        <w:tc>
          <w:tcPr>
            <w:tcW w:type="dxa" w:w="1205"/>
          </w:tcPr>
          <w:p>
            <w:r>
              <w:t>I_TRI_D − I_TRI</w:t>
            </w:r>
          </w:p>
        </w:tc>
        <w:tc>
          <w:tcPr>
            <w:tcW w:type="dxa" w:w="1205"/>
          </w:tcPr>
          <w:p>
            <w:r>
              <w:t>+0.326</w:t>
            </w:r>
          </w:p>
        </w:tc>
        <w:tc>
          <w:tcPr>
            <w:tcW w:type="dxa" w:w="1205"/>
          </w:tcPr>
          <w:p>
            <w:r>
              <w:t>[−0.193, +0.934]</w:t>
            </w:r>
          </w:p>
        </w:tc>
        <w:tc>
          <w:tcPr>
            <w:tcW w:type="dxa" w:w="1205"/>
          </w:tcPr>
          <w:p>
            <w:r>
              <w:t>[−0.296, +1.118]</w:t>
            </w:r>
          </w:p>
        </w:tc>
        <w:tc>
          <w:tcPr>
            <w:tcW w:type="dxa" w:w="1205"/>
          </w:tcPr>
          <w:p>
            <w:r>
              <w:t>+0.603</w:t>
            </w:r>
          </w:p>
        </w:tc>
        <w:tc>
          <w:tcPr>
            <w:tcW w:type="dxa" w:w="1205"/>
          </w:tcPr>
          <w:p>
            <w:r>
              <w:t>[+0.326, +0.876]</w:t>
            </w:r>
          </w:p>
        </w:tc>
        <w:tc>
          <w:tcPr>
            <w:tcW w:type="dxa" w:w="1205"/>
          </w:tcPr>
          <w:p>
            <w:r>
              <w:t>[+0.255, +0.945]</w:t>
            </w:r>
          </w:p>
        </w:tc>
        <w:tc>
          <w:tcPr>
            <w:tcW w:type="dxa" w:w="1205"/>
          </w:tcPr>
          <w:p>
            <w:r>
              <w:t>+0.264 / +0.616</w:t>
            </w:r>
          </w:p>
        </w:tc>
      </w:tr>
      <w:tr>
        <w:tc>
          <w:tcPr>
            <w:tcW w:type="dxa" w:w="1205"/>
          </w:tcPr>
          <w:p>
            <w:r>
              <w:t>I_BAL_D − I_BAL</w:t>
            </w:r>
          </w:p>
        </w:tc>
        <w:tc>
          <w:tcPr>
            <w:tcW w:type="dxa" w:w="1205"/>
          </w:tcPr>
          <w:p>
            <w:r>
              <w:t>+0.139</w:t>
            </w:r>
          </w:p>
        </w:tc>
        <w:tc>
          <w:tcPr>
            <w:tcW w:type="dxa" w:w="1205"/>
          </w:tcPr>
          <w:p>
            <w:r>
              <w:t>[−0.276, +0.650]</w:t>
            </w:r>
          </w:p>
        </w:tc>
        <w:tc>
          <w:tcPr>
            <w:tcW w:type="dxa" w:w="1205"/>
          </w:tcPr>
          <w:p>
            <w:r>
              <w:t>[−0.372, +0.806]</w:t>
            </w:r>
          </w:p>
        </w:tc>
        <w:tc>
          <w:tcPr>
            <w:tcW w:type="dxa" w:w="1205"/>
          </w:tcPr>
          <w:p>
            <w:r>
              <w:t>+0.576</w:t>
            </w:r>
          </w:p>
        </w:tc>
        <w:tc>
          <w:tcPr>
            <w:tcW w:type="dxa" w:w="1205"/>
          </w:tcPr>
          <w:p>
            <w:r>
              <w:t>[+0.275, +0.949]</w:t>
            </w:r>
          </w:p>
        </w:tc>
        <w:tc>
          <w:tcPr>
            <w:tcW w:type="dxa" w:w="1205"/>
          </w:tcPr>
          <w:p>
            <w:r>
              <w:t>[+0.204, +1.060]</w:t>
            </w:r>
          </w:p>
        </w:tc>
        <w:tc>
          <w:tcPr>
            <w:tcW w:type="dxa" w:w="1205"/>
          </w:tcPr>
          <w:p>
            <w:r>
              <w:t>+0.075 / +0.575</w:t>
            </w:r>
          </w:p>
        </w:tc>
      </w:tr>
    </w:tbl>
    <w:p w14:paraId="1D9420FF">
      <w:pPr/>
      <m:oMath>
        <m:sSub>
          <m:sSubPr/>
          <m:e>
            <m:r>
              <m:rPr/>
              <w:rPr>
                <w:rFonts w:ascii="Cambria Math" w:hAnsi="Cambria Math"/>
              </w:rPr>
              <m:t>E</m:t>
            </m:r>
          </m:e>
          <m:sub>
            <m:r>
              <m:rPr>
                <m:sty m:val="p"/>
              </m:rPr>
              <w:rPr>
                <w:rFonts w:ascii="Cambria Math" w:hAnsi="Cambria Math"/>
              </w:rPr>
              <m:t>L</m:t>
            </m:r>
          </m:sub>
        </m:sSub>
      </m:oMath>
      <m:oMath>
        <m:sSub>
          <m:sSubPr/>
          <m:e>
            <m:r>
              <m:rPr/>
              <w:rPr>
                <w:rFonts w:ascii="Cambria Math" w:hAnsi="Cambria Math"/>
              </w:rPr>
              <m:t>E</m:t>
            </m:r>
          </m:e>
          <m:sub>
            <m:r>
              <m:rPr>
                <m:sty m:val="p"/>
              </m:rPr>
              <w:rPr>
                <w:rFonts w:ascii="Cambria Math" w:hAnsi="Cambria Math"/>
              </w:rPr>
              <m:t>L</m:t>
            </m:r>
          </m:sub>
        </m:sSub>
      </m:oMath>
      <w:r>
        <w:t>表 4t：两个编码器交互的配对差值（差值在同一次复制内相减后再取分位数）。四种组合构成一个家族，因此同时报 95% 与 98.75% 区间：BTAD 两项区间不含零，MPDD 两项含零。差值不能由两组各自的显著性状态推断，也不能相减两组区间端点。</w:t>
      </w:r>
    </w:p>
    <w:p w14:paraId="11DCFCA4">
      <w:r>
        <w:t>这一写法允许负结果完成研究问题，同时把主要科学主张与真正需要补足的证据直接对应。</w:t>
      </w:r>
    </w:p>
    <w:p w14:paraId="5861A38E">
      <w:pPr>
        <w:pStyle w:val="5"/>
      </w:pPr>
      <w:r>
        <w:t>4.2.5 参考预算与类别条件</w:t>
      </w:r>
    </w:p>
    <w:p w14:paraId="62A96407">
      <w:r>
        <w:t>使用 K=1、2、4、8 的完整曲线，分别展示匹配效应、表征效应和交互。当前结果不支持跨数据集统一单调规律：MPDD 的 I_TRI 随 K 走强（K1 +0.411、K2 +0.746、K4 +0.884、K8 +1.007 个百分点，bootstrap 均值），而 BTAD 的 I_TRI 从 K1 的 +0.199 转为 K4 的 −0.140、K8 的 −0.232 个百分点，K8 的区间不含零；BTAD 的 I_BAL 同样在 K8 转为显著为负。嵌套支持使最小原始距离不增，不意味着 AP、G 或交互必然单调。</w:t>
      </w:r>
    </w:p>
    <w:p w14:paraId="2186EB16">
      <w:r>
        <w:t>通过逐类和留一类别分析检查平均结果是否由少数类别驱动。已有 A1 匹配效应的留一类稳定性不能代替新交互的留一类分析。缺陷面积、排序翻转等只用于探索性解释；组内类别构成不同，不写成缺陷大小的因果效应。</w:t>
      </w:r>
    </w:p>
    <w:p w14:paraId="7EE53D9C">
      <w:pPr>
        <w:pStyle w:val="5"/>
      </w:pPr>
      <w:r>
        <w:t>4.2.6 定性案例与参考位置解释</w:t>
      </w:r>
    </w:p>
    <w:p w14:paraId="42479648">
      <w:r>
        <w:t>将查询缺陷局部、共同匹配选中的正常参考 patch，以及各分支独立选择的 patch 并排，帮助读者理解约束具体发生在哪里；同时给热图、预测轮廓与 GT。至少保留五个带红色空心框的细节案例，并包括改善、退化或无明显变化的情况。</w:t>
      </w:r>
    </w:p>
    <w:p w14:paraId="1E34C608">
      <w:r>
        <w:t>按固定逐图定位指标差选取案例，记录完整候选与样本 ID。不能按 L−J 的平均原始分数降低选择“成功”，因为分数降低不等于定位改善。多方法同样本对比至少展示三个样本，研究锚点或明确的主比较结果与 GT 相邻，其他构造放补充面板，避免把约十列文字缩得过小。</w:t>
      </w:r>
    </w:p>
    <w:p w14:paraId="29EB28FE">
      <w:pPr>
        <w:pStyle w:val="5"/>
      </w:pPr>
      <w:r>
        <w:t>4.2.7 成熟方法与计算成本</w:t>
      </w:r>
    </w:p>
    <w:p w14:paraId="67FAF7CF">
      <w:r>
        <w:t>既有两种基线已产出 72 个目标类别级条件，配置审计与统一评价坐标系已在收尾轮次完成：修正了PatchCore 中心裁剪预测被拉伸到整画布的问题，改为按各方法真实覆盖矩形的交集评价；开启参考旋转的AnomalyDINO 也纳入同一坐标系。同一共同区域（占画布 76.6% / BTAD 平均 70.5%）上的宏像素 AP 为：受控 A1_L 0.3698 / 0.6474，A1_J 0.3611 / 0.6380，AnomalyDINO（画布原生 + 旋转）0.3214 / 0.5840，AnomalyDINO（无旋转）0.3130 / 0.5614，PatchCore 官方 224/1024 为 0.2275 / 0.3760，本地 128/256 为 0.1649 / 0.2886。受控融合在该口径下不低于原生基线，但各方法骨干、输入分辨率与后处理不同，且 AnomalyDINO 与本研究的 S 分支共用同一 DINOv2-S 骨干，因此不写成「已超过强原生方法」。</w:t>
      </w:r>
    </w:p>
    <w:p w14:paraId="3DD9A72A">
      <w:r>
        <w:t>效率图同时回答：改变匹配方式的成本多大；增加一个编码器的收益是否值得其代价；增加 K 的库规模如何影响资源。按老师要求优先准备 VRAM 与速度双轴图，单位和阶段明确。无目标训练的方法没有 loss-epoch 曲线，向老师说明不适用，另用 K、分支与资源曲线体现变化，替代图仍需审阅。</w:t>
      </w:r>
    </w:p>
    <w:p w14:paraId="05987A7D">
      <w:pPr>
        <w:pStyle w:val="5"/>
      </w:pPr>
      <w:r>
        <w:t>4.2.8 讨论与剩余局限</w:t>
      </w:r>
    </w:p>
    <w:p w14:paraId="4ADACA4E">
      <w:r>
        <w:t>将简明提纲中独立的“讨论与局限”并入本节，以保持已完成英文初稿结构。讨论三个问题：参考匹配与新表征的关系能否形成实际选择建议；哪些现象只属于当前 B/S/C 组合；当成熟单支更强时，本研究仍能提供什么避免无效融合的依据。</w:t>
      </w:r>
    </w:p>
    <w:p w14:paraId="283BC260">
      <w:r>
        <w:t>明确数据集和编码器数量有限、BTAD 非首次未见、现有交互为事后分析、全像素口径尚无区间、受控矩阵的逐单元耗时未记录、PatchCore 逐进程显存无法测量等范围。新编码器组合已完成，但只覆盖 seed 0/1 与 K 1/4；更多 K、更多数据集属于扩展项，不是当前必须追加。文本分支、ROI、前景筛选与动态融合留在未来工作，不写进本稿贡献。</w:t>
      </w:r>
    </w:p>
    <w:p w14:paraId="1C720705">
      <w:pPr>
        <w:pStyle w:val="3"/>
      </w:pPr>
      <w:r>
        <w:t>5 结论 Conclusion</w:t>
      </w:r>
    </w:p>
    <w:p w14:paraId="39C26DD2">
      <w:r>
        <w:t>第一段回答研究问题：固定多分支收益不能由分支数量解释，需要区分有效权重、新增表征和参考匹配。第二段概括最终交互结果及其条件；第三段说明实际启示、局限与后续验证。结论不加入正文未报告的数字或方法。</w:t>
      </w:r>
    </w:p>
    <w:p w14:paraId="59497577">
      <w:r>
        <w:rPr>
          <w:b/>
        </w:rPr>
        <w:t>结论工作表述：本文围绕少样本工业异常定位中的固定多视觉融合，建立了对正常参考选择约束的显式分析，并通过复制、表征替换和家族权重保持对照区分不同收益来源。结果显示，独立匹配具有较稳定的平均优势（A1 上 +0.637 / +0.915 个百分点，区间不含零）；新增表征的收益是条件性的——DINOv2-S 在 MPDD 上交互为正（+0.762 个百分点，家族区间不含零）而在 BTAD 上未检出，换成预先指定的 WideResNet50-2 后两个数据集的四项交互均为正（0.50—0.97 个百分点）。这表明参考匹配方式的作用存在，但依赖所采用的视觉表征与数据条件，分支数量本身不足以解释融合收益。</w:t>
      </w:r>
      <w:r/>
    </w:p>
    <w:p w14:paraId="7C91526A">
      <w:r>
        <w:t>投稿时以本版数字为准，并按统一口径复核。若审稿要求更保守的表述，保留已成立的匹配效应与条件性结论，改用较宽的备选题目，不为保住标题夸大结果。</w:t>
      </w:r>
    </w:p>
    <w:p w14:paraId="1DF0F538">
      <w:pPr>
        <w:pStyle w:val="3"/>
      </w:pPr>
      <w:r>
        <w:t>数据与代码 Data and Code Availability</w:t>
      </w:r>
    </w:p>
    <w:p w14:paraId="0DF09E0C">
      <w:r>
        <w:t>代码和复现材料应包含固定支持清单、配置表、匹配规则、坐标版本、指标与统计说明、图表源文件及生成关系。按老师要求，公开项目名与论文主题相关，不含 SCI；确定正式名称后统一摘要、正文、README 和复现包链接。本轮仅撰写提纲，不修改或发布远程仓库。</w:t>
      </w:r>
    </w:p>
    <w:p w14:paraId="0431BFE9">
      <w:r>
        <w:t>作者、单位、基金、利益冲突及数据使用声明依据真实信息补充，不生成未经作者确认的声明。旧实验包与新主题材料分版本保留。</w:t>
      </w:r>
    </w:p>
    <w:p w14:paraId="4E9ED2A0">
      <w:pPr>
        <w:pStyle w:val="3"/>
      </w:pPr>
      <w:r>
        <w:t>图表与补充材料安排</w:t>
      </w:r>
    </w:p>
    <w:p w14:paraId="69A76586">
      <w:r>
        <w:t>以下为新论文建议编号，不能直接沿用旧图包编号。正式制作时建立“正文图号—图源—PPT 页—数据脚本—日期版本”对应表。</w:t>
      </w:r>
    </w:p>
    <w:tbl>
      <w:tblPr>
        <w:tblStyle w:val="32"/>
        <w:tblW w:w="0" w:type="auto"/>
        <w:tblInd w:w="0" w:type="dxa"/>
        <w:tblLayout w:type="fixed"/>
        <w:tblCellMar>
          <w:top w:w="0" w:type="dxa"/>
          <w:left w:w="108" w:type="dxa"/>
          <w:bottom w:w="0" w:type="dxa"/>
          <w:right w:w="108" w:type="dxa"/>
        </w:tblCellMar>
      </w:tblPr>
      <w:tblGrid>
        <w:gridCol w:w="1871"/>
        <w:gridCol w:w="4025"/>
        <w:gridCol w:w="3742"/>
      </w:tblGrid>
      <w:tr w14:paraId="3F9EB904">
        <w:tblPrEx>
          <w:tblCellMar>
            <w:top w:w="0" w:type="dxa"/>
            <w:left w:w="108" w:type="dxa"/>
            <w:bottom w:w="0" w:type="dxa"/>
            <w:right w:w="108" w:type="dxa"/>
          </w:tblCellMar>
        </w:tblPrEx>
        <w:trPr>
          <w:cantSplit/>
          <w:tblHeader/>
        </w:trPr>
        <w:tc>
          <w:tcPr>
            <w:tcW w:w="1871" w:type="dxa"/>
            <w:tcBorders>
              <w:top w:val="single" w:color="000000" w:sz="8" w:space="0"/>
              <w:left w:val="nil"/>
              <w:bottom w:val="single" w:color="000000" w:sz="8" w:space="0"/>
              <w:right w:val="nil"/>
            </w:tcBorders>
            <w:tcMar>
              <w:top w:w="90" w:type="dxa"/>
              <w:left w:w="90" w:type="dxa"/>
              <w:bottom w:w="90" w:type="dxa"/>
              <w:right w:w="90" w:type="dxa"/>
            </w:tcMar>
          </w:tcPr>
          <w:p w14:paraId="257DA410">
            <w:pPr>
              <w:spacing w:before="40" w:after="40" w:line="252" w:lineRule="auto"/>
            </w:pPr>
            <w:r>
              <w:rPr>
                <w:b/>
                <w:sz w:val="21"/>
              </w:rPr>
              <w:t>图表</w:t>
            </w:r>
          </w:p>
        </w:tc>
        <w:tc>
          <w:tcPr>
            <w:tcW w:w="4025" w:type="dxa"/>
            <w:tcBorders>
              <w:top w:val="single" w:color="000000" w:sz="8" w:space="0"/>
              <w:left w:val="nil"/>
              <w:bottom w:val="single" w:color="000000" w:sz="8" w:space="0"/>
              <w:right w:val="nil"/>
            </w:tcBorders>
            <w:tcMar>
              <w:top w:w="90" w:type="dxa"/>
              <w:left w:w="90" w:type="dxa"/>
              <w:bottom w:w="90" w:type="dxa"/>
              <w:right w:w="90" w:type="dxa"/>
            </w:tcMar>
          </w:tcPr>
          <w:p w14:paraId="1CEB1177">
            <w:pPr>
              <w:spacing w:before="40" w:after="40" w:line="252" w:lineRule="auto"/>
            </w:pPr>
            <w:r>
              <w:rPr>
                <w:b/>
                <w:sz w:val="21"/>
              </w:rPr>
              <w:t>内容与论文位置</w:t>
            </w:r>
          </w:p>
        </w:tc>
        <w:tc>
          <w:tcPr>
            <w:tcW w:w="3742" w:type="dxa"/>
            <w:tcBorders>
              <w:top w:val="single" w:color="000000" w:sz="8" w:space="0"/>
              <w:left w:val="nil"/>
              <w:bottom w:val="single" w:color="000000" w:sz="8" w:space="0"/>
              <w:right w:val="nil"/>
            </w:tcBorders>
            <w:tcMar>
              <w:top w:w="90" w:type="dxa"/>
              <w:left w:w="90" w:type="dxa"/>
              <w:bottom w:w="90" w:type="dxa"/>
              <w:right w:w="90" w:type="dxa"/>
            </w:tcMar>
          </w:tcPr>
          <w:p w14:paraId="1E601EBF">
            <w:pPr>
              <w:spacing w:before="40" w:after="40" w:line="252" w:lineRule="auto"/>
            </w:pPr>
            <w:r>
              <w:rPr>
                <w:b/>
                <w:sz w:val="21"/>
              </w:rPr>
              <w:t>对贡献的作用</w:t>
            </w:r>
          </w:p>
        </w:tc>
      </w:tr>
      <w:tr w14:paraId="60DF7A1A">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014FB24">
            <w:pPr>
              <w:spacing w:before="40" w:after="40" w:line="252" w:lineRule="auto"/>
            </w:pPr>
            <w:r>
              <w:rPr>
                <w:b w:val="0"/>
                <w:sz w:val="21"/>
              </w:rPr>
              <w:t>图 1</w:t>
            </w:r>
          </w:p>
        </w:tc>
        <w:tc>
          <w:tcPr>
            <w:tcW w:w="4025" w:type="dxa"/>
            <w:tcBorders>
              <w:top w:val="nil"/>
              <w:left w:val="nil"/>
              <w:bottom w:val="nil"/>
              <w:right w:val="nil"/>
            </w:tcBorders>
            <w:tcMar>
              <w:top w:w="90" w:type="dxa"/>
              <w:left w:w="90" w:type="dxa"/>
              <w:bottom w:w="90" w:type="dxa"/>
              <w:right w:w="90" w:type="dxa"/>
            </w:tcMar>
          </w:tcPr>
          <w:p w14:paraId="558BBDC3">
            <w:pPr>
              <w:spacing w:before="40" w:after="40" w:line="252" w:lineRule="auto"/>
            </w:pPr>
            <w:r>
              <w:rPr>
                <w:b w:val="0"/>
                <w:sz w:val="21"/>
              </w:rPr>
              <w:t>多图支持建库、查询与真实输出；第 3.2 节</w:t>
            </w:r>
          </w:p>
        </w:tc>
        <w:tc>
          <w:tcPr>
            <w:tcW w:w="3742" w:type="dxa"/>
            <w:tcBorders>
              <w:top w:val="nil"/>
              <w:left w:val="nil"/>
              <w:bottom w:val="nil"/>
              <w:right w:val="nil"/>
            </w:tcBorders>
            <w:tcMar>
              <w:top w:w="90" w:type="dxa"/>
              <w:left w:w="90" w:type="dxa"/>
              <w:bottom w:w="90" w:type="dxa"/>
              <w:right w:w="90" w:type="dxa"/>
            </w:tcMar>
          </w:tcPr>
          <w:p w14:paraId="71C691E3">
            <w:pPr>
              <w:spacing w:before="40" w:after="40" w:line="252" w:lineRule="auto"/>
            </w:pPr>
            <w:r>
              <w:rPr>
                <w:b w:val="0"/>
                <w:sz w:val="21"/>
              </w:rPr>
              <w:t>展示共用研究框架</w:t>
            </w:r>
          </w:p>
        </w:tc>
      </w:tr>
      <w:tr w14:paraId="162F6930">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3B9413B">
            <w:pPr>
              <w:spacing w:before="40" w:after="40" w:line="252" w:lineRule="auto"/>
            </w:pPr>
            <w:r>
              <w:rPr>
                <w:b w:val="0"/>
                <w:sz w:val="21"/>
              </w:rPr>
              <w:t>图 2</w:t>
            </w:r>
          </w:p>
        </w:tc>
        <w:tc>
          <w:tcPr>
            <w:tcW w:w="4025" w:type="dxa"/>
            <w:tcBorders>
              <w:top w:val="nil"/>
              <w:left w:val="nil"/>
              <w:bottom w:val="nil"/>
              <w:right w:val="nil"/>
            </w:tcBorders>
            <w:tcMar>
              <w:top w:w="90" w:type="dxa"/>
              <w:left w:w="90" w:type="dxa"/>
              <w:bottom w:w="90" w:type="dxa"/>
              <w:right w:w="90" w:type="dxa"/>
            </w:tcMar>
          </w:tcPr>
          <w:p w14:paraId="73134CF5">
            <w:pPr>
              <w:spacing w:before="40" w:after="40" w:line="252" w:lineRule="auto"/>
            </w:pPr>
            <w:r>
              <w:rPr>
                <w:b w:val="0"/>
                <w:sz w:val="21"/>
              </w:rPr>
              <w:t>同一查询位置的 J/L 候选参考与约束差；第 3.3 节</w:t>
            </w:r>
          </w:p>
        </w:tc>
        <w:tc>
          <w:tcPr>
            <w:tcW w:w="3742" w:type="dxa"/>
            <w:tcBorders>
              <w:top w:val="nil"/>
              <w:left w:val="nil"/>
              <w:bottom w:val="nil"/>
              <w:right w:val="nil"/>
            </w:tcBorders>
            <w:tcMar>
              <w:top w:w="90" w:type="dxa"/>
              <w:left w:w="90" w:type="dxa"/>
              <w:bottom w:w="90" w:type="dxa"/>
              <w:right w:w="90" w:type="dxa"/>
            </w:tcMar>
          </w:tcPr>
          <w:p w14:paraId="0B6C2185">
            <w:pPr>
              <w:spacing w:before="40" w:after="40" w:line="252" w:lineRule="auto"/>
            </w:pPr>
            <w:r>
              <w:rPr>
                <w:b w:val="0"/>
                <w:sz w:val="21"/>
              </w:rPr>
              <w:t>解释贡献一的核心问题</w:t>
            </w:r>
          </w:p>
        </w:tc>
      </w:tr>
      <w:tr w14:paraId="33AE5A18">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EA1C545">
            <w:pPr>
              <w:spacing w:before="40" w:after="40" w:line="252" w:lineRule="auto"/>
            </w:pPr>
            <w:r>
              <w:rPr>
                <w:b w:val="0"/>
                <w:sz w:val="21"/>
              </w:rPr>
              <w:t>图 3</w:t>
            </w:r>
          </w:p>
        </w:tc>
        <w:tc>
          <w:tcPr>
            <w:tcW w:w="4025" w:type="dxa"/>
            <w:tcBorders>
              <w:top w:val="nil"/>
              <w:left w:val="nil"/>
              <w:bottom w:val="nil"/>
              <w:right w:val="nil"/>
            </w:tcBorders>
            <w:tcMar>
              <w:top w:w="90" w:type="dxa"/>
              <w:left w:w="90" w:type="dxa"/>
              <w:bottom w:w="90" w:type="dxa"/>
              <w:right w:w="90" w:type="dxa"/>
            </w:tcMar>
          </w:tcPr>
          <w:p w14:paraId="0D6F4AB2">
            <w:pPr>
              <w:spacing w:before="40" w:after="40" w:line="252" w:lineRule="auto"/>
            </w:pPr>
            <w:r>
              <w:rPr>
                <w:b w:val="0"/>
                <w:sz w:val="21"/>
              </w:rPr>
              <w:t>A1/DUP/TRI/BAL 权重与替换路径；第 3.4 节</w:t>
            </w:r>
          </w:p>
        </w:tc>
        <w:tc>
          <w:tcPr>
            <w:tcW w:w="3742" w:type="dxa"/>
            <w:tcBorders>
              <w:top w:val="nil"/>
              <w:left w:val="nil"/>
              <w:bottom w:val="nil"/>
              <w:right w:val="nil"/>
            </w:tcBorders>
            <w:tcMar>
              <w:top w:w="90" w:type="dxa"/>
              <w:left w:w="90" w:type="dxa"/>
              <w:bottom w:w="90" w:type="dxa"/>
              <w:right w:w="90" w:type="dxa"/>
            </w:tcMar>
          </w:tcPr>
          <w:p w14:paraId="2771CE58">
            <w:pPr>
              <w:spacing w:before="40" w:after="40" w:line="252" w:lineRule="auto"/>
            </w:pPr>
            <w:r>
              <w:rPr>
                <w:b w:val="0"/>
                <w:sz w:val="21"/>
              </w:rPr>
              <w:t>解释贡献二的控制逻辑</w:t>
            </w:r>
          </w:p>
        </w:tc>
      </w:tr>
      <w:tr w14:paraId="0B868AC0">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13D9CDB">
            <w:pPr>
              <w:spacing w:before="40" w:after="40" w:line="252" w:lineRule="auto"/>
            </w:pPr>
            <w:r>
              <w:rPr>
                <w:b w:val="0"/>
                <w:sz w:val="21"/>
              </w:rPr>
              <w:t>图 4</w:t>
            </w:r>
          </w:p>
        </w:tc>
        <w:tc>
          <w:tcPr>
            <w:tcW w:w="4025" w:type="dxa"/>
            <w:tcBorders>
              <w:top w:val="nil"/>
              <w:left w:val="nil"/>
              <w:bottom w:val="nil"/>
              <w:right w:val="nil"/>
            </w:tcBorders>
            <w:tcMar>
              <w:top w:w="90" w:type="dxa"/>
              <w:left w:w="90" w:type="dxa"/>
              <w:bottom w:w="90" w:type="dxa"/>
              <w:right w:w="90" w:type="dxa"/>
            </w:tcMar>
          </w:tcPr>
          <w:p w14:paraId="17C38AA8">
            <w:pPr>
              <w:spacing w:before="40" w:after="40" w:line="252" w:lineRule="auto"/>
            </w:pPr>
            <w:r>
              <w:rPr>
                <w:b w:val="0"/>
                <w:sz w:val="21"/>
              </w:rPr>
              <w:t>表征效应与直接交互区间；第 4.2.3—4.2.4 节</w:t>
            </w:r>
          </w:p>
        </w:tc>
        <w:tc>
          <w:tcPr>
            <w:tcW w:w="3742" w:type="dxa"/>
            <w:tcBorders>
              <w:top w:val="nil"/>
              <w:left w:val="nil"/>
              <w:bottom w:val="nil"/>
              <w:right w:val="nil"/>
            </w:tcBorders>
            <w:tcMar>
              <w:top w:w="90" w:type="dxa"/>
              <w:left w:w="90" w:type="dxa"/>
              <w:bottom w:w="90" w:type="dxa"/>
              <w:right w:w="90" w:type="dxa"/>
            </w:tcMar>
          </w:tcPr>
          <w:p w14:paraId="288AF456">
            <w:pPr>
              <w:spacing w:before="40" w:after="40" w:line="252" w:lineRule="auto"/>
            </w:pPr>
            <w:r>
              <w:rPr>
                <w:b w:val="0"/>
                <w:sz w:val="21"/>
              </w:rPr>
              <w:t>新主题的关键结果图</w:t>
            </w:r>
          </w:p>
        </w:tc>
      </w:tr>
      <w:tr w14:paraId="76681D55">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5D14A441">
            <w:pPr>
              <w:spacing w:before="40" w:after="40" w:line="252" w:lineRule="auto"/>
            </w:pPr>
            <w:r>
              <w:rPr>
                <w:b w:val="0"/>
                <w:sz w:val="21"/>
              </w:rPr>
              <w:t>图 5</w:t>
            </w:r>
          </w:p>
        </w:tc>
        <w:tc>
          <w:tcPr>
            <w:tcW w:w="4025" w:type="dxa"/>
            <w:tcBorders>
              <w:top w:val="nil"/>
              <w:left w:val="nil"/>
              <w:bottom w:val="nil"/>
              <w:right w:val="nil"/>
            </w:tcBorders>
            <w:tcMar>
              <w:top w:w="90" w:type="dxa"/>
              <w:left w:w="90" w:type="dxa"/>
              <w:bottom w:w="90" w:type="dxa"/>
              <w:right w:w="90" w:type="dxa"/>
            </w:tcMar>
          </w:tcPr>
          <w:p w14:paraId="7532A204">
            <w:pPr>
              <w:spacing w:before="40" w:after="40" w:line="252" w:lineRule="auto"/>
            </w:pPr>
            <w:r>
              <w:rPr>
                <w:b w:val="0"/>
                <w:sz w:val="21"/>
              </w:rPr>
              <w:t>K 曲线、类别或留一类稳定性；第 4.2.5 节</w:t>
            </w:r>
          </w:p>
        </w:tc>
        <w:tc>
          <w:tcPr>
            <w:tcW w:w="3742" w:type="dxa"/>
            <w:tcBorders>
              <w:top w:val="nil"/>
              <w:left w:val="nil"/>
              <w:bottom w:val="nil"/>
              <w:right w:val="nil"/>
            </w:tcBorders>
            <w:tcMar>
              <w:top w:w="90" w:type="dxa"/>
              <w:left w:w="90" w:type="dxa"/>
              <w:bottom w:w="90" w:type="dxa"/>
              <w:right w:w="90" w:type="dxa"/>
            </w:tcMar>
          </w:tcPr>
          <w:p w14:paraId="667C778E">
            <w:pPr>
              <w:spacing w:before="40" w:after="40" w:line="252" w:lineRule="auto"/>
            </w:pPr>
            <w:r>
              <w:rPr>
                <w:b w:val="0"/>
                <w:sz w:val="21"/>
              </w:rPr>
              <w:t>界定贡献三的适用条件</w:t>
            </w:r>
          </w:p>
        </w:tc>
      </w:tr>
      <w:tr w14:paraId="08BFA30C">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3A86792F">
            <w:pPr>
              <w:spacing w:before="40" w:after="40" w:line="252" w:lineRule="auto"/>
            </w:pPr>
            <w:r>
              <w:rPr>
                <w:b w:val="0"/>
                <w:sz w:val="21"/>
              </w:rPr>
              <w:t>图 6</w:t>
            </w:r>
          </w:p>
        </w:tc>
        <w:tc>
          <w:tcPr>
            <w:tcW w:w="4025" w:type="dxa"/>
            <w:tcBorders>
              <w:top w:val="nil"/>
              <w:left w:val="nil"/>
              <w:bottom w:val="nil"/>
              <w:right w:val="nil"/>
            </w:tcBorders>
            <w:tcMar>
              <w:top w:w="90" w:type="dxa"/>
              <w:left w:w="90" w:type="dxa"/>
              <w:bottom w:w="90" w:type="dxa"/>
              <w:right w:w="90" w:type="dxa"/>
            </w:tcMar>
          </w:tcPr>
          <w:p w14:paraId="0376FA1A">
            <w:pPr>
              <w:spacing w:before="40" w:after="40" w:line="252" w:lineRule="auto"/>
            </w:pPr>
            <w:r>
              <w:rPr>
                <w:b w:val="0"/>
                <w:sz w:val="21"/>
              </w:rPr>
              <w:t>至少五例局部放大、热图与轮廓；第 4.2.6 节</w:t>
            </w:r>
          </w:p>
        </w:tc>
        <w:tc>
          <w:tcPr>
            <w:tcW w:w="3742" w:type="dxa"/>
            <w:tcBorders>
              <w:top w:val="nil"/>
              <w:left w:val="nil"/>
              <w:bottom w:val="nil"/>
              <w:right w:val="nil"/>
            </w:tcBorders>
            <w:tcMar>
              <w:top w:w="90" w:type="dxa"/>
              <w:left w:w="90" w:type="dxa"/>
              <w:bottom w:w="90" w:type="dxa"/>
              <w:right w:w="90" w:type="dxa"/>
            </w:tcMar>
          </w:tcPr>
          <w:p w14:paraId="28C970D2">
            <w:pPr>
              <w:spacing w:before="40" w:after="40" w:line="252" w:lineRule="auto"/>
            </w:pPr>
            <w:r>
              <w:rPr>
                <w:b w:val="0"/>
                <w:sz w:val="21"/>
              </w:rPr>
              <w:t>展示改善与失败及参考差异</w:t>
            </w:r>
          </w:p>
        </w:tc>
      </w:tr>
      <w:tr w14:paraId="5DC1B679">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61C2CB7">
            <w:pPr>
              <w:spacing w:before="40" w:after="40" w:line="252" w:lineRule="auto"/>
            </w:pPr>
            <w:r>
              <w:rPr>
                <w:b w:val="0"/>
                <w:sz w:val="21"/>
              </w:rPr>
              <w:t>图 7</w:t>
            </w:r>
          </w:p>
        </w:tc>
        <w:tc>
          <w:tcPr>
            <w:tcW w:w="4025" w:type="dxa"/>
            <w:tcBorders>
              <w:top w:val="nil"/>
              <w:left w:val="nil"/>
              <w:bottom w:val="nil"/>
              <w:right w:val="nil"/>
            </w:tcBorders>
            <w:tcMar>
              <w:top w:w="90" w:type="dxa"/>
              <w:left w:w="90" w:type="dxa"/>
              <w:bottom w:w="90" w:type="dxa"/>
              <w:right w:w="90" w:type="dxa"/>
            </w:tcMar>
          </w:tcPr>
          <w:p w14:paraId="0E1A0D9F">
            <w:pPr>
              <w:spacing w:before="40" w:after="40" w:line="252" w:lineRule="auto"/>
            </w:pPr>
            <w:r>
              <w:rPr>
                <w:b w:val="0"/>
                <w:sz w:val="21"/>
              </w:rPr>
              <w:t>至少三样本的正式方法对比与 GT</w:t>
            </w:r>
          </w:p>
        </w:tc>
        <w:tc>
          <w:tcPr>
            <w:tcW w:w="3742" w:type="dxa"/>
            <w:tcBorders>
              <w:top w:val="nil"/>
              <w:left w:val="nil"/>
              <w:bottom w:val="nil"/>
              <w:right w:val="nil"/>
            </w:tcBorders>
            <w:tcMar>
              <w:top w:w="90" w:type="dxa"/>
              <w:left w:w="90" w:type="dxa"/>
              <w:bottom w:w="90" w:type="dxa"/>
              <w:right w:w="90" w:type="dxa"/>
            </w:tcMar>
          </w:tcPr>
          <w:p w14:paraId="659A39CF">
            <w:pPr>
              <w:spacing w:before="40" w:after="40" w:line="252" w:lineRule="auto"/>
            </w:pPr>
            <w:r>
              <w:rPr>
                <w:b w:val="0"/>
                <w:sz w:val="21"/>
              </w:rPr>
              <w:t>检查定性实用价值</w:t>
            </w:r>
          </w:p>
        </w:tc>
      </w:tr>
      <w:tr w14:paraId="70BCE3C9">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15412C1B">
            <w:pPr>
              <w:spacing w:before="40" w:after="40" w:line="252" w:lineRule="auto"/>
            </w:pPr>
            <w:r>
              <w:rPr>
                <w:b w:val="0"/>
                <w:sz w:val="21"/>
              </w:rPr>
              <w:t>图 8</w:t>
            </w:r>
          </w:p>
        </w:tc>
        <w:tc>
          <w:tcPr>
            <w:tcW w:w="4025" w:type="dxa"/>
            <w:tcBorders>
              <w:top w:val="nil"/>
              <w:left w:val="nil"/>
              <w:bottom w:val="nil"/>
              <w:right w:val="nil"/>
            </w:tcBorders>
            <w:tcMar>
              <w:top w:w="90" w:type="dxa"/>
              <w:left w:w="90" w:type="dxa"/>
              <w:bottom w:w="90" w:type="dxa"/>
              <w:right w:w="90" w:type="dxa"/>
            </w:tcMar>
          </w:tcPr>
          <w:p w14:paraId="66CE7DBC">
            <w:pPr>
              <w:spacing w:before="40" w:after="40" w:line="252" w:lineRule="auto"/>
            </w:pPr>
            <w:r>
              <w:rPr>
                <w:b w:val="0"/>
                <w:sz w:val="21"/>
              </w:rPr>
              <w:t>VRAM 与推理速度，本文锚点红色</w:t>
            </w:r>
          </w:p>
        </w:tc>
        <w:tc>
          <w:tcPr>
            <w:tcW w:w="3742" w:type="dxa"/>
            <w:tcBorders>
              <w:top w:val="nil"/>
              <w:left w:val="nil"/>
              <w:bottom w:val="nil"/>
              <w:right w:val="nil"/>
            </w:tcBorders>
            <w:tcMar>
              <w:top w:w="90" w:type="dxa"/>
              <w:left w:w="90" w:type="dxa"/>
              <w:bottom w:w="90" w:type="dxa"/>
              <w:right w:w="90" w:type="dxa"/>
            </w:tcMar>
          </w:tcPr>
          <w:p w14:paraId="7917F921">
            <w:pPr>
              <w:spacing w:before="40" w:after="40" w:line="252" w:lineRule="auto"/>
            </w:pPr>
            <w:r>
              <w:rPr>
                <w:b w:val="0"/>
                <w:sz w:val="21"/>
              </w:rPr>
              <w:t>展示方法代价</w:t>
            </w:r>
          </w:p>
        </w:tc>
      </w:tr>
      <w:tr w14:paraId="087E2B27">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7F2CAE35">
            <w:pPr>
              <w:spacing w:before="40" w:after="40" w:line="252" w:lineRule="auto"/>
            </w:pPr>
            <w:r>
              <w:rPr>
                <w:b w:val="0"/>
                <w:sz w:val="21"/>
              </w:rPr>
              <w:t>表 1</w:t>
            </w:r>
          </w:p>
        </w:tc>
        <w:tc>
          <w:tcPr>
            <w:tcW w:w="4025" w:type="dxa"/>
            <w:tcBorders>
              <w:top w:val="nil"/>
              <w:left w:val="nil"/>
              <w:bottom w:val="nil"/>
              <w:right w:val="nil"/>
            </w:tcBorders>
            <w:tcMar>
              <w:top w:w="90" w:type="dxa"/>
              <w:left w:w="90" w:type="dxa"/>
              <w:bottom w:w="90" w:type="dxa"/>
              <w:right w:w="90" w:type="dxa"/>
            </w:tcMar>
          </w:tcPr>
          <w:p w14:paraId="67209105">
            <w:pPr>
              <w:spacing w:before="40" w:after="40" w:line="252" w:lineRule="auto"/>
            </w:pPr>
            <w:r>
              <w:rPr>
                <w:b w:val="0"/>
                <w:sz w:val="21"/>
              </w:rPr>
              <w:t>模型配置和固定条件；第 3.7 节</w:t>
            </w:r>
          </w:p>
        </w:tc>
        <w:tc>
          <w:tcPr>
            <w:tcW w:w="3742" w:type="dxa"/>
            <w:tcBorders>
              <w:top w:val="nil"/>
              <w:left w:val="nil"/>
              <w:bottom w:val="nil"/>
              <w:right w:val="nil"/>
            </w:tcBorders>
            <w:tcMar>
              <w:top w:w="90" w:type="dxa"/>
              <w:left w:w="90" w:type="dxa"/>
              <w:bottom w:w="90" w:type="dxa"/>
              <w:right w:w="90" w:type="dxa"/>
            </w:tcMar>
          </w:tcPr>
          <w:p w14:paraId="2C6AFD9C">
            <w:pPr>
              <w:spacing w:before="40" w:after="40" w:line="252" w:lineRule="auto"/>
            </w:pPr>
            <w:r>
              <w:rPr>
                <w:b w:val="0"/>
                <w:sz w:val="21"/>
              </w:rPr>
              <w:t>可复现技术定义</w:t>
            </w:r>
          </w:p>
        </w:tc>
      </w:tr>
      <w:tr w14:paraId="0EC9C8FB">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5FC994F">
            <w:pPr>
              <w:spacing w:before="40" w:after="40" w:line="252" w:lineRule="auto"/>
            </w:pPr>
            <w:r>
              <w:rPr>
                <w:b w:val="0"/>
                <w:sz w:val="21"/>
              </w:rPr>
              <w:t>表 2</w:t>
            </w:r>
          </w:p>
        </w:tc>
        <w:tc>
          <w:tcPr>
            <w:tcW w:w="4025" w:type="dxa"/>
            <w:tcBorders>
              <w:top w:val="nil"/>
              <w:left w:val="nil"/>
              <w:bottom w:val="nil"/>
              <w:right w:val="nil"/>
            </w:tcBorders>
            <w:tcMar>
              <w:top w:w="90" w:type="dxa"/>
              <w:left w:w="90" w:type="dxa"/>
              <w:bottom w:w="90" w:type="dxa"/>
              <w:right w:w="90" w:type="dxa"/>
            </w:tcMar>
          </w:tcPr>
          <w:p w14:paraId="209B2858">
            <w:pPr>
              <w:spacing w:before="40" w:after="40" w:line="252" w:lineRule="auto"/>
            </w:pPr>
            <w:r>
              <w:rPr>
                <w:b w:val="0"/>
                <w:sz w:val="21"/>
              </w:rPr>
              <w:t>数据角色、K、seed、指标与评价版本</w:t>
            </w:r>
          </w:p>
        </w:tc>
        <w:tc>
          <w:tcPr>
            <w:tcW w:w="3742" w:type="dxa"/>
            <w:tcBorders>
              <w:top w:val="nil"/>
              <w:left w:val="nil"/>
              <w:bottom w:val="nil"/>
              <w:right w:val="nil"/>
            </w:tcBorders>
            <w:tcMar>
              <w:top w:w="90" w:type="dxa"/>
              <w:left w:w="90" w:type="dxa"/>
              <w:bottom w:w="90" w:type="dxa"/>
              <w:right w:w="90" w:type="dxa"/>
            </w:tcMar>
          </w:tcPr>
          <w:p w14:paraId="4395C3B7">
            <w:pPr>
              <w:spacing w:before="40" w:after="40" w:line="252" w:lineRule="auto"/>
            </w:pPr>
            <w:r>
              <w:rPr>
                <w:b w:val="0"/>
                <w:sz w:val="21"/>
              </w:rPr>
              <w:t>支持公平性判断</w:t>
            </w:r>
          </w:p>
        </w:tc>
      </w:tr>
      <w:tr w14:paraId="61EBC461">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1998AE63">
            <w:pPr>
              <w:spacing w:before="40" w:after="40" w:line="252" w:lineRule="auto"/>
            </w:pPr>
            <w:r>
              <w:rPr>
                <w:b w:val="0"/>
                <w:sz w:val="21"/>
              </w:rPr>
              <w:t>表 3</w:t>
            </w:r>
          </w:p>
        </w:tc>
        <w:tc>
          <w:tcPr>
            <w:tcW w:w="4025" w:type="dxa"/>
            <w:tcBorders>
              <w:top w:val="nil"/>
              <w:left w:val="nil"/>
              <w:bottom w:val="nil"/>
              <w:right w:val="nil"/>
            </w:tcBorders>
            <w:tcMar>
              <w:top w:w="90" w:type="dxa"/>
              <w:left w:w="90" w:type="dxa"/>
              <w:bottom w:w="90" w:type="dxa"/>
              <w:right w:w="90" w:type="dxa"/>
            </w:tcMar>
          </w:tcPr>
          <w:p w14:paraId="267116A1">
            <w:pPr>
              <w:spacing w:before="40" w:after="40" w:line="252" w:lineRule="auto"/>
            </w:pPr>
            <w:r>
              <w:rPr>
                <w:b w:val="0"/>
                <w:sz w:val="21"/>
              </w:rPr>
              <w:t>核心构造的全像素性能，区间口径单列</w:t>
            </w:r>
          </w:p>
        </w:tc>
        <w:tc>
          <w:tcPr>
            <w:tcW w:w="3742" w:type="dxa"/>
            <w:tcBorders>
              <w:top w:val="nil"/>
              <w:left w:val="nil"/>
              <w:bottom w:val="nil"/>
              <w:right w:val="nil"/>
            </w:tcBorders>
            <w:tcMar>
              <w:top w:w="90" w:type="dxa"/>
              <w:left w:w="90" w:type="dxa"/>
              <w:bottom w:w="90" w:type="dxa"/>
              <w:right w:w="90" w:type="dxa"/>
            </w:tcMar>
          </w:tcPr>
          <w:p w14:paraId="75C76A84">
            <w:pPr>
              <w:spacing w:before="40" w:after="40" w:line="252" w:lineRule="auto"/>
            </w:pPr>
            <w:r>
              <w:rPr>
                <w:b w:val="0"/>
                <w:sz w:val="21"/>
              </w:rPr>
              <w:t>总体性能证据</w:t>
            </w:r>
          </w:p>
        </w:tc>
      </w:tr>
      <w:tr w14:paraId="35AA79C5">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3FE65EDB">
            <w:pPr>
              <w:spacing w:before="40" w:after="40" w:line="252" w:lineRule="auto"/>
            </w:pPr>
            <w:r>
              <w:rPr>
                <w:b w:val="0"/>
                <w:sz w:val="21"/>
              </w:rPr>
              <w:t>表 4</w:t>
            </w:r>
          </w:p>
        </w:tc>
        <w:tc>
          <w:tcPr>
            <w:tcW w:w="4025" w:type="dxa"/>
            <w:tcBorders>
              <w:top w:val="nil"/>
              <w:left w:val="nil"/>
              <w:bottom w:val="nil"/>
              <w:right w:val="nil"/>
            </w:tcBorders>
            <w:tcMar>
              <w:top w:w="90" w:type="dxa"/>
              <w:left w:w="90" w:type="dxa"/>
              <w:bottom w:w="90" w:type="dxa"/>
              <w:right w:w="90" w:type="dxa"/>
            </w:tcMar>
          </w:tcPr>
          <w:p w14:paraId="68AC1E92">
            <w:pPr>
              <w:spacing w:before="40" w:after="40" w:line="252" w:lineRule="auto"/>
            </w:pPr>
            <w:r>
              <w:rPr>
                <w:b w:val="0"/>
                <w:sz w:val="21"/>
              </w:rPr>
              <w:t>成熟基线配置与统一评价结果</w:t>
            </w:r>
          </w:p>
        </w:tc>
        <w:tc>
          <w:tcPr>
            <w:tcW w:w="3742" w:type="dxa"/>
            <w:tcBorders>
              <w:top w:val="nil"/>
              <w:left w:val="nil"/>
              <w:bottom w:val="nil"/>
              <w:right w:val="nil"/>
            </w:tcBorders>
            <w:tcMar>
              <w:top w:w="90" w:type="dxa"/>
              <w:left w:w="90" w:type="dxa"/>
              <w:bottom w:w="90" w:type="dxa"/>
              <w:right w:w="90" w:type="dxa"/>
            </w:tcMar>
          </w:tcPr>
          <w:p w14:paraId="6D9EAFDB">
            <w:pPr>
              <w:spacing w:before="40" w:after="40" w:line="252" w:lineRule="auto"/>
            </w:pPr>
            <w:r>
              <w:rPr>
                <w:b w:val="0"/>
                <w:sz w:val="21"/>
              </w:rPr>
              <w:t>实际竞争力证据</w:t>
            </w:r>
          </w:p>
        </w:tc>
      </w:tr>
      <w:tr>
        <w:tc>
          <w:tcPr>
            <w:tcW w:type="dxa" w:w="1871"/>
          </w:tcPr>
          <w:p>
            <w:r>
              <w:t>表 5</w:t>
            </w:r>
          </w:p>
        </w:tc>
        <w:tc>
          <w:tcPr>
            <w:tcW w:type="dxa" w:w="4025"/>
          </w:tcPr>
          <w:p>
            <w:r>
              <w:t>同一共同有效区域下受控融合与成熟基线的宏像素 AP（含旋转版 AnomalyDINO）；第 4.2.7 节</w:t>
            </w:r>
          </w:p>
        </w:tc>
        <w:tc>
          <w:tcPr>
            <w:tcW w:type="dxa" w:w="3742"/>
          </w:tcPr>
          <w:p>
            <w:r>
              <w:t>实际竞争力证据，不宣称超越</w:t>
            </w:r>
          </w:p>
        </w:tc>
      </w:tr>
      <w:tr>
        <w:tc>
          <w:tcPr>
            <w:tcW w:type="dxa" w:w="1871"/>
          </w:tcPr>
          <w:p>
            <w:r>
              <w:t>表 6</w:t>
            </w:r>
          </w:p>
        </w:tc>
        <w:tc>
          <w:tcPr>
            <w:tcW w:type="dxa" w:w="4025"/>
          </w:tcPr>
          <w:p>
            <w:r>
              <w:t>两个编码器的交互对比与配对差值（同 seed/K 范围，含全像素点估计）；第 4.2.4 节</w:t>
            </w:r>
          </w:p>
        </w:tc>
        <w:tc>
          <w:tcPr>
            <w:tcW w:type="dxa" w:w="3742"/>
          </w:tcPr>
          <w:p>
            <w:r>
              <w:t>说明交互是否只属于原编码器组合</w:t>
            </w:r>
          </w:p>
        </w:tc>
      </w:tr>
      <w:tr w14:paraId="2A1B8071">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C3E0CCC">
            <w:pPr>
              <w:spacing w:before="40" w:after="40" w:line="252" w:lineRule="auto"/>
            </w:pPr>
            <w:r>
              <w:rPr>
                <w:b w:val="0"/>
                <w:sz w:val="21"/>
              </w:rPr>
              <w:t>表 S1 至 S4</w:t>
            </w:r>
          </w:p>
        </w:tc>
        <w:tc>
          <w:tcPr>
            <w:tcW w:w="4025" w:type="dxa"/>
            <w:tcBorders>
              <w:top w:val="nil"/>
              <w:left w:val="nil"/>
              <w:bottom w:val="nil"/>
              <w:right w:val="nil"/>
            </w:tcBorders>
            <w:tcMar>
              <w:top w:w="90" w:type="dxa"/>
              <w:left w:w="90" w:type="dxa"/>
              <w:bottom w:w="90" w:type="dxa"/>
              <w:right w:w="90" w:type="dxa"/>
            </w:tcMar>
          </w:tcPr>
          <w:p w14:paraId="03398FD3">
            <w:pPr>
              <w:spacing w:before="40" w:after="40" w:line="252" w:lineRule="auto"/>
            </w:pPr>
            <w:r>
              <w:rPr>
                <w:b w:val="0"/>
                <w:sz w:val="21"/>
              </w:rPr>
              <w:t>全条件、缺失消融、文献差异、版本清单</w:t>
            </w:r>
          </w:p>
        </w:tc>
        <w:tc>
          <w:tcPr>
            <w:tcW w:w="3742" w:type="dxa"/>
            <w:tcBorders>
              <w:top w:val="nil"/>
              <w:left w:val="nil"/>
              <w:bottom w:val="nil"/>
              <w:right w:val="nil"/>
            </w:tcBorders>
            <w:tcMar>
              <w:top w:w="90" w:type="dxa"/>
              <w:left w:w="90" w:type="dxa"/>
              <w:bottom w:w="90" w:type="dxa"/>
              <w:right w:w="90" w:type="dxa"/>
            </w:tcMar>
          </w:tcPr>
          <w:p w14:paraId="426E569D">
            <w:pPr>
              <w:spacing w:before="40" w:after="40" w:line="252" w:lineRule="auto"/>
            </w:pPr>
            <w:r>
              <w:rPr>
                <w:b w:val="0"/>
                <w:sz w:val="21"/>
              </w:rPr>
              <w:t>支撑完整审查</w:t>
            </w:r>
          </w:p>
        </w:tc>
      </w:tr>
      <w:tr w14:paraId="000CBDCA">
        <w:tblPrEx>
          <w:tblCellMar>
            <w:top w:w="0" w:type="dxa"/>
            <w:left w:w="108" w:type="dxa"/>
            <w:bottom w:w="0" w:type="dxa"/>
            <w:right w:w="108" w:type="dxa"/>
          </w:tblCellMar>
        </w:tblPrEx>
        <w:trPr>
          <w:cantSplit/>
        </w:trPr>
        <w:tc>
          <w:tcPr>
            <w:tcW w:w="1871" w:type="dxa"/>
            <w:tcBorders>
              <w:top w:val="nil"/>
              <w:left w:val="nil"/>
              <w:bottom w:val="single" w:color="000000" w:sz="8" w:space="0"/>
              <w:right w:val="nil"/>
            </w:tcBorders>
            <w:tcMar>
              <w:top w:w="90" w:type="dxa"/>
              <w:left w:w="90" w:type="dxa"/>
              <w:bottom w:w="90" w:type="dxa"/>
              <w:right w:w="90" w:type="dxa"/>
            </w:tcMar>
          </w:tcPr>
          <w:p w14:paraId="64A3C230">
            <w:pPr>
              <w:spacing w:before="40" w:after="40" w:line="252" w:lineRule="auto"/>
            </w:pPr>
            <w:r>
              <w:rPr>
                <w:b w:val="0"/>
                <w:sz w:val="21"/>
              </w:rPr>
              <w:t>图 S1 至 S3</w:t>
            </w:r>
          </w:p>
        </w:tc>
        <w:tc>
          <w:tcPr>
            <w:tcW w:w="4025" w:type="dxa"/>
            <w:tcBorders>
              <w:top w:val="nil"/>
              <w:left w:val="nil"/>
              <w:bottom w:val="single" w:color="000000" w:sz="8" w:space="0"/>
              <w:right w:val="nil"/>
            </w:tcBorders>
            <w:tcMar>
              <w:top w:w="90" w:type="dxa"/>
              <w:left w:w="90" w:type="dxa"/>
              <w:bottom w:w="90" w:type="dxa"/>
              <w:right w:w="90" w:type="dxa"/>
            </w:tcMar>
          </w:tcPr>
          <w:p w14:paraId="53BAF030">
            <w:pPr>
              <w:spacing w:before="40" w:after="40" w:line="252" w:lineRule="auto"/>
            </w:pPr>
            <w:r>
              <w:rPr>
                <w:b w:val="0"/>
                <w:sz w:val="21"/>
              </w:rPr>
              <w:t>编码器几何、真模块消融、额外案例或组合验证</w:t>
            </w:r>
          </w:p>
        </w:tc>
        <w:tc>
          <w:tcPr>
            <w:tcW w:w="3742" w:type="dxa"/>
            <w:tcBorders>
              <w:top w:val="nil"/>
              <w:left w:val="nil"/>
              <w:bottom w:val="single" w:color="000000" w:sz="8" w:space="0"/>
              <w:right w:val="nil"/>
            </w:tcBorders>
            <w:tcMar>
              <w:top w:w="90" w:type="dxa"/>
              <w:left w:w="90" w:type="dxa"/>
              <w:bottom w:w="90" w:type="dxa"/>
              <w:right w:w="90" w:type="dxa"/>
            </w:tcMar>
          </w:tcPr>
          <w:p w14:paraId="54C7414F">
            <w:pPr>
              <w:spacing w:before="40" w:after="40" w:line="252" w:lineRule="auto"/>
            </w:pPr>
            <w:r>
              <w:rPr>
                <w:b w:val="0"/>
                <w:sz w:val="21"/>
              </w:rPr>
              <w:t>承载技术细节及增强证据</w:t>
            </w:r>
          </w:p>
        </w:tc>
      </w:tr>
    </w:tbl>
    <w:p w14:paraId="4EF26106">
      <w:pPr>
        <w:spacing w:after="0"/>
      </w:pPr>
    </w:p>
    <w:p w14:paraId="7E5F5219">
      <w:r>
        <w:t>方法图保持可编辑 PPT 元素；正式 Word 公式使用原生数学对象并连续编号。普通英文图中文字与正文一致，数学量的字体、粗斜体和上下标按定义统一。图内承载信息的文字在论文最终尺寸下尽量不小于正文；移除重复 Fig. 大标题，保留 caption、子图编号和模块名。</w:t>
      </w:r>
    </w:p>
    <w:p w14:paraId="4CB0E8CD">
      <w:r>
        <w:t>Normalized 与 Concatenate 若同时出现，用两种背景色区分；公式靠近所属模块，并用弱虚线相连。不同任务路径也保持清楚的视觉分区。新图不以添加未定义变量填空，也不重复旧图中容易混淆的系数。</w:t>
      </w:r>
    </w:p>
    <w:p w14:paraId="2A1EFCA7">
      <w:r>
        <w:t>表格按课堂要求统一为三线表，同表字号一致，同一数据集行合并或分组。DCFnet/A1 锚点行按要求整行加粗，并在表注声明粗体表示研究锚点而非全部最优；其他研究变体不全部加粗，避免整表失去重点。热图缩放、轮廓阈值和 GT 图例在 caption 中交代。</w:t>
      </w:r>
    </w:p>
    <w:p w14:paraId="46AB2DD7">
      <w:pPr>
        <w:pStyle w:val="3"/>
      </w:pPr>
      <w:r>
        <w:t>审阅重点与证据完成情况</w:t>
      </w:r>
    </w:p>
    <w:p w14:paraId="0672ADF3">
      <w:pPr>
        <w:pStyle w:val="4"/>
      </w:pPr>
      <w:r>
        <w:t>这版提纲解决了哪些旧问题</w:t>
      </w:r>
    </w:p>
    <w:p w14:paraId="1887368B">
      <w:r>
        <w:t>原来“融合两个成熟模型”的贡献，改为研究参考选择这一具体约束；原来“三支是否优于两支”的比较，加入复制和家族权重保持对照；原来“常规实验评估”这一贡献，改为待直接检验的交互问题及有条件的经验发现。全部方法、结果和图表都围绕这条主线，避免为了凑创新点添加无关的 ROI 或新网络层。</w:t>
      </w:r>
    </w:p>
    <w:p w14:paraId="7318E492">
      <w:r>
        <w:t>交互已由候选发现转为已有直接证据的核心结果，且已用第二个编码器组合检验其是否只属于原组合。需要向老师说明的关键边界是：共同/独立参考的操作不是本文首创（多视图异常检测已有研究），本文的增量在设定、分离方式与估计形式。剩余工作集中在表格统一、研究范围说明、正式相关工作补齐与资源/发布限制的如实交代，不再靠增加实验支撑贡献。</w:t>
      </w:r>
    </w:p>
    <w:p w14:paraId="58CC03D5">
      <w:pPr>
        <w:pStyle w:val="4"/>
      </w:pPr>
      <w:r>
        <w:t>当前证据状态</w:t>
      </w:r>
    </w:p>
    <w:tbl>
      <w:tblPr>
        <w:tblStyle w:val="32"/>
        <w:tblW w:w="0" w:type="auto"/>
        <w:tblInd w:w="0" w:type="dxa"/>
        <w:tblLayout w:type="fixed"/>
        <w:tblCellMar>
          <w:top w:w="0" w:type="dxa"/>
          <w:left w:w="108" w:type="dxa"/>
          <w:bottom w:w="0" w:type="dxa"/>
          <w:right w:w="108" w:type="dxa"/>
        </w:tblCellMar>
      </w:tblPr>
      <w:tblGrid>
        <w:gridCol w:w="1871"/>
        <w:gridCol w:w="4025"/>
        <w:gridCol w:w="3742"/>
      </w:tblGrid>
      <w:tr w14:paraId="6F994641">
        <w:tblPrEx>
          <w:tblCellMar>
            <w:top w:w="0" w:type="dxa"/>
            <w:left w:w="108" w:type="dxa"/>
            <w:bottom w:w="0" w:type="dxa"/>
            <w:right w:w="108" w:type="dxa"/>
          </w:tblCellMar>
        </w:tblPrEx>
        <w:trPr>
          <w:cantSplit/>
          <w:tblHeader/>
        </w:trPr>
        <w:tc>
          <w:tcPr>
            <w:tcW w:w="1871" w:type="dxa"/>
            <w:tcBorders>
              <w:top w:val="single" w:color="000000" w:sz="8" w:space="0"/>
              <w:left w:val="nil"/>
              <w:bottom w:val="single" w:color="000000" w:sz="8" w:space="0"/>
              <w:right w:val="nil"/>
            </w:tcBorders>
            <w:tcMar>
              <w:top w:w="90" w:type="dxa"/>
              <w:left w:w="90" w:type="dxa"/>
              <w:bottom w:w="90" w:type="dxa"/>
              <w:right w:w="90" w:type="dxa"/>
            </w:tcMar>
          </w:tcPr>
          <w:p w14:paraId="3F8F426B">
            <w:pPr>
              <w:spacing w:before="40" w:after="40" w:line="252" w:lineRule="auto"/>
            </w:pPr>
            <w:r>
              <w:rPr>
                <w:b/>
                <w:sz w:val="21"/>
              </w:rPr>
              <w:t>内容</w:t>
            </w:r>
          </w:p>
        </w:tc>
        <w:tc>
          <w:tcPr>
            <w:tcW w:w="4025" w:type="dxa"/>
            <w:tcBorders>
              <w:top w:val="single" w:color="000000" w:sz="8" w:space="0"/>
              <w:left w:val="nil"/>
              <w:bottom w:val="single" w:color="000000" w:sz="8" w:space="0"/>
              <w:right w:val="nil"/>
            </w:tcBorders>
            <w:tcMar>
              <w:top w:w="90" w:type="dxa"/>
              <w:left w:w="90" w:type="dxa"/>
              <w:bottom w:w="90" w:type="dxa"/>
              <w:right w:w="90" w:type="dxa"/>
            </w:tcMar>
          </w:tcPr>
          <w:p w14:paraId="4902ECAF">
            <w:pPr>
              <w:spacing w:before="40" w:after="40" w:line="252" w:lineRule="auto"/>
            </w:pPr>
            <w:r>
              <w:rPr>
                <w:b/>
                <w:sz w:val="21"/>
              </w:rPr>
              <w:t>本轮检查到的状态</w:t>
            </w:r>
          </w:p>
        </w:tc>
        <w:tc>
          <w:tcPr>
            <w:tcW w:w="3742" w:type="dxa"/>
            <w:tcBorders>
              <w:top w:val="single" w:color="000000" w:sz="8" w:space="0"/>
              <w:left w:val="nil"/>
              <w:bottom w:val="single" w:color="000000" w:sz="8" w:space="0"/>
              <w:right w:val="nil"/>
            </w:tcBorders>
            <w:tcMar>
              <w:top w:w="90" w:type="dxa"/>
              <w:left w:w="90" w:type="dxa"/>
              <w:bottom w:w="90" w:type="dxa"/>
              <w:right w:w="90" w:type="dxa"/>
            </w:tcMar>
          </w:tcPr>
          <w:p w14:paraId="2B686000">
            <w:pPr>
              <w:spacing w:before="40" w:after="40" w:line="252" w:lineRule="auto"/>
            </w:pPr>
            <w:r>
              <w:rPr>
                <w:b/>
                <w:sz w:val="21"/>
              </w:rPr>
              <w:t>提纲中的处理</w:t>
            </w:r>
          </w:p>
        </w:tc>
      </w:tr>
      <w:tr w14:paraId="5AD08288">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C91E97E">
            <w:pPr>
              <w:spacing w:before="40" w:after="40" w:line="252" w:lineRule="auto"/>
            </w:pPr>
            <w:r>
              <w:rPr>
                <w:b w:val="0"/>
                <w:sz w:val="21"/>
              </w:rPr>
              <w:t>B/S/C 主矩阵</w:t>
            </w:r>
          </w:p>
        </w:tc>
        <w:tc>
          <w:tcPr>
            <w:tcW w:w="4025" w:type="dxa"/>
            <w:tcBorders>
              <w:top w:val="nil"/>
              <w:left w:val="nil"/>
              <w:bottom w:val="nil"/>
              <w:right w:val="nil"/>
            </w:tcBorders>
            <w:tcMar>
              <w:top w:w="90" w:type="dxa"/>
              <w:left w:w="90" w:type="dxa"/>
              <w:bottom w:w="90" w:type="dxa"/>
              <w:right w:w="90" w:type="dxa"/>
            </w:tcMar>
          </w:tcPr>
          <w:p w14:paraId="251500F5">
            <w:pPr>
              <w:spacing w:before="40" w:after="40" w:line="252" w:lineRule="auto"/>
            </w:pPr>
            <w:r>
              <w:rPr>
                <w:b w:val="0"/>
                <w:sz w:val="21"/>
              </w:rPr>
              <w:t>96 个单元、11 个核心构造已产出</w:t>
            </w:r>
          </w:p>
        </w:tc>
        <w:tc>
          <w:tcPr>
            <w:tcW w:w="3742" w:type="dxa"/>
            <w:tcBorders>
              <w:top w:val="nil"/>
              <w:left w:val="nil"/>
              <w:bottom w:val="nil"/>
              <w:right w:val="nil"/>
            </w:tcBorders>
            <w:tcMar>
              <w:top w:w="90" w:type="dxa"/>
              <w:left w:w="90" w:type="dxa"/>
              <w:bottom w:w="90" w:type="dxa"/>
              <w:right w:w="90" w:type="dxa"/>
            </w:tcMar>
          </w:tcPr>
          <w:p w14:paraId="2661FA62">
            <w:pPr>
              <w:spacing w:before="40" w:after="40" w:line="252" w:lineRule="auto"/>
            </w:pPr>
            <w:r>
              <w:rPr>
                <w:b w:val="0"/>
                <w:sz w:val="21"/>
              </w:rPr>
              <w:t>方法可写，结果按对应版本引用</w:t>
            </w:r>
          </w:p>
        </w:tc>
      </w:tr>
      <w:tr w14:paraId="0F3D0436">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565B666C">
            <w:pPr>
              <w:spacing w:before="40" w:after="40" w:line="252" w:lineRule="auto"/>
            </w:pPr>
            <w:r>
              <w:rPr>
                <w:b w:val="0"/>
                <w:sz w:val="21"/>
              </w:rPr>
              <w:t>成对效应汇总区间</w:t>
            </w:r>
          </w:p>
        </w:tc>
        <w:tc>
          <w:tcPr>
            <w:tcW w:w="4025" w:type="dxa"/>
            <w:tcBorders>
              <w:top w:val="nil"/>
              <w:left w:val="nil"/>
              <w:bottom w:val="nil"/>
              <w:right w:val="nil"/>
            </w:tcBorders>
            <w:tcMar>
              <w:top w:w="90" w:type="dxa"/>
              <w:left w:w="90" w:type="dxa"/>
              <w:bottom w:w="90" w:type="dxa"/>
              <w:right w:w="90" w:type="dxa"/>
            </w:tcMar>
          </w:tcPr>
          <w:p w14:paraId="56B2B319">
            <w:pPr>
              <w:spacing w:before="40" w:after="40" w:line="252" w:lineRule="auto"/>
            </w:pPr>
            <w:r>
              <w:rPr>
                <w:b w:val="0"/>
                <w:sz w:val="21"/>
              </w:rPr>
              <w:t>已修正；原始点差与 bootstrap 均值分列，K 对照列按 seed 平均</w:t>
            </w:r>
          </w:p>
        </w:tc>
        <w:tc>
          <w:tcPr>
            <w:tcW w:w="3742" w:type="dxa"/>
            <w:tcBorders>
              <w:top w:val="nil"/>
              <w:left w:val="nil"/>
              <w:bottom w:val="nil"/>
              <w:right w:val="nil"/>
            </w:tcBorders>
            <w:tcMar>
              <w:top w:w="90" w:type="dxa"/>
              <w:left w:w="90" w:type="dxa"/>
              <w:bottom w:w="90" w:type="dxa"/>
              <w:right w:w="90" w:type="dxa"/>
            </w:tcMar>
          </w:tcPr>
          <w:p w14:paraId="1D9ABF3E">
            <w:pPr>
              <w:spacing w:before="40" w:after="40" w:line="252" w:lineRule="auto"/>
            </w:pPr>
            <w:r>
              <w:rPr>
                <w:b w:val="0"/>
                <w:sz w:val="21"/>
              </w:rPr>
              <w:t>不沿用旧「未修正」描述</w:t>
            </w:r>
          </w:p>
        </w:tc>
      </w:tr>
      <w:tr w14:paraId="78BBE48F">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866D80B">
            <w:pPr>
              <w:spacing w:before="40" w:after="40" w:line="252" w:lineRule="auto"/>
            </w:pPr>
            <w:r>
              <w:rPr>
                <w:b w:val="0"/>
                <w:sz w:val="21"/>
              </w:rPr>
              <w:t>直接交互</w:t>
            </w:r>
          </w:p>
        </w:tc>
        <w:tc>
          <w:tcPr>
            <w:tcW w:w="4025" w:type="dxa"/>
            <w:tcBorders>
              <w:top w:val="nil"/>
              <w:left w:val="nil"/>
              <w:bottom w:val="nil"/>
              <w:right w:val="nil"/>
            </w:tcBorders>
            <w:tcMar>
              <w:top w:w="90" w:type="dxa"/>
              <w:left w:w="90" w:type="dxa"/>
              <w:bottom w:w="90" w:type="dxa"/>
              <w:right w:w="90" w:type="dxa"/>
            </w:tcMar>
          </w:tcPr>
          <w:p w14:paraId="1973EFB1">
            <w:pPr>
              <w:spacing w:before="40" w:after="40" w:line="252" w:lineRule="auto"/>
            </w:pPr>
            <w:r>
              <w:rPr>
                <w:b w:val="0"/>
                <w:sz w:val="21"/>
              </w:rPr>
              <w:t>已完成：MPDD 两项区间不含零并达尺度；BTAD 两项含零</w:t>
            </w:r>
          </w:p>
        </w:tc>
        <w:tc>
          <w:tcPr>
            <w:tcW w:w="3742" w:type="dxa"/>
            <w:tcBorders>
              <w:top w:val="nil"/>
              <w:left w:val="nil"/>
              <w:bottom w:val="nil"/>
              <w:right w:val="nil"/>
            </w:tcBorders>
            <w:tcMar>
              <w:top w:w="90" w:type="dxa"/>
              <w:left w:w="90" w:type="dxa"/>
              <w:bottom w:w="90" w:type="dxa"/>
              <w:right w:w="90" w:type="dxa"/>
            </w:tcMar>
          </w:tcPr>
          <w:p w14:paraId="432ECFCF">
            <w:pPr>
              <w:spacing w:before="40" w:after="40" w:line="252" w:lineRule="auto"/>
            </w:pPr>
            <w:r>
              <w:rPr>
                <w:b w:val="0"/>
                <w:sz w:val="21"/>
              </w:rPr>
              <w:t>第 4.2.4 节给出实际数字与判据落位</w:t>
            </w:r>
          </w:p>
        </w:tc>
      </w:tr>
      <w:tr w14:paraId="2F5AE234">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C85F112">
            <w:pPr>
              <w:spacing w:before="40" w:after="40" w:line="252" w:lineRule="auto"/>
            </w:pPr>
            <w:r>
              <w:rPr>
                <w:b w:val="0"/>
                <w:sz w:val="21"/>
              </w:rPr>
              <w:t>新编码器迁移验证</w:t>
            </w:r>
          </w:p>
        </w:tc>
        <w:tc>
          <w:tcPr>
            <w:tcW w:w="4025" w:type="dxa"/>
            <w:tcBorders>
              <w:top w:val="nil"/>
              <w:left w:val="nil"/>
              <w:bottom w:val="nil"/>
              <w:right w:val="nil"/>
            </w:tcBorders>
            <w:tcMar>
              <w:top w:w="90" w:type="dxa"/>
              <w:left w:w="90" w:type="dxa"/>
              <w:bottom w:w="90" w:type="dxa"/>
              <w:right w:w="90" w:type="dxa"/>
            </w:tcMar>
          </w:tcPr>
          <w:p w14:paraId="2724E8B7">
            <w:pPr>
              <w:spacing w:before="40" w:after="40" w:line="252" w:lineRule="auto"/>
            </w:pPr>
            <w:r>
              <w:rPr>
                <w:b w:val="0"/>
                <w:sz w:val="21"/>
              </w:rPr>
              <w:t>已完成：WideResNet50-2，seed 0/1 × K 1/4，四项交互均为正</w:t>
            </w:r>
          </w:p>
        </w:tc>
        <w:tc>
          <w:tcPr>
            <w:tcW w:w="3742" w:type="dxa"/>
            <w:tcBorders>
              <w:top w:val="nil"/>
              <w:left w:val="nil"/>
              <w:bottom w:val="nil"/>
              <w:right w:val="nil"/>
            </w:tcBorders>
            <w:tcMar>
              <w:top w:w="90" w:type="dxa"/>
              <w:left w:w="90" w:type="dxa"/>
              <w:bottom w:w="90" w:type="dxa"/>
              <w:right w:w="90" w:type="dxa"/>
            </w:tcMar>
          </w:tcPr>
          <w:p w14:paraId="18E635A2">
            <w:pPr>
              <w:spacing w:before="40" w:after="40" w:line="252" w:lineRule="auto"/>
            </w:pPr>
            <w:r>
              <w:rPr>
                <w:b w:val="0"/>
                <w:sz w:val="21"/>
              </w:rPr>
              <w:t>写入正文；范围之外明确列为扩展项</w:t>
            </w:r>
          </w:p>
        </w:tc>
      </w:tr>
      <w:tr w14:paraId="282254F0">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625C413">
            <w:pPr>
              <w:spacing w:before="40" w:after="40" w:line="252" w:lineRule="auto"/>
            </w:pPr>
            <w:r>
              <w:rPr>
                <w:b w:val="0"/>
                <w:sz w:val="21"/>
              </w:rPr>
              <w:t>新分支全像素点估计</w:t>
            </w:r>
          </w:p>
        </w:tc>
        <w:tc>
          <w:tcPr>
            <w:tcW w:w="4025" w:type="dxa"/>
            <w:tcBorders>
              <w:top w:val="nil"/>
              <w:left w:val="nil"/>
              <w:bottom w:val="nil"/>
              <w:right w:val="nil"/>
            </w:tcBorders>
            <w:tcMar>
              <w:top w:w="90" w:type="dxa"/>
              <w:left w:w="90" w:type="dxa"/>
              <w:bottom w:w="90" w:type="dxa"/>
              <w:right w:w="90" w:type="dxa"/>
            </w:tcMar>
          </w:tcPr>
          <w:p w14:paraId="6E85D91E">
            <w:pPr>
              <w:spacing w:before="40" w:after="40" w:line="252" w:lineRule="auto"/>
            </w:pPr>
            <w:r>
              <w:rPr>
                <w:b w:val="0"/>
                <w:sz w:val="21"/>
              </w:rPr>
              <w:t>已完成：48/48 单元；A1 对照复现旧全像素表最大差 2.3×10⁻⁷</w:t>
            </w:r>
          </w:p>
        </w:tc>
        <w:tc>
          <w:tcPr>
            <w:tcW w:w="3742" w:type="dxa"/>
            <w:tcBorders>
              <w:top w:val="nil"/>
              <w:left w:val="nil"/>
              <w:bottom w:val="nil"/>
              <w:right w:val="nil"/>
            </w:tcBorders>
            <w:tcMar>
              <w:top w:w="90" w:type="dxa"/>
              <w:left w:w="90" w:type="dxa"/>
              <w:bottom w:w="90" w:type="dxa"/>
              <w:right w:w="90" w:type="dxa"/>
            </w:tcMar>
          </w:tcPr>
          <w:p w14:paraId="0796985B">
            <w:pPr>
              <w:spacing w:before="40" w:after="40" w:line="252" w:lineRule="auto"/>
            </w:pPr>
            <w:r>
              <w:rPr>
                <w:b w:val="0"/>
                <w:sz w:val="21"/>
              </w:rPr>
              <w:t>作为方向核对，不给区间、不写成显著</w:t>
            </w:r>
          </w:p>
        </w:tc>
      </w:tr>
      <w:tr w14:paraId="4020FA87">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AB38DF0">
            <w:pPr>
              <w:spacing w:before="40" w:after="40" w:line="252" w:lineRule="auto"/>
            </w:pPr>
            <w:r>
              <w:rPr>
                <w:b w:val="0"/>
                <w:sz w:val="21"/>
              </w:rPr>
              <w:t>编码器差值</w:t>
            </w:r>
          </w:p>
        </w:tc>
        <w:tc>
          <w:tcPr>
            <w:tcW w:w="4025" w:type="dxa"/>
            <w:tcBorders>
              <w:top w:val="nil"/>
              <w:left w:val="nil"/>
              <w:bottom w:val="nil"/>
              <w:right w:val="nil"/>
            </w:tcBorders>
            <w:tcMar>
              <w:top w:w="90" w:type="dxa"/>
              <w:left w:w="90" w:type="dxa"/>
              <w:bottom w:w="90" w:type="dxa"/>
              <w:right w:w="90" w:type="dxa"/>
            </w:tcMar>
          </w:tcPr>
          <w:p w14:paraId="1BDE4109">
            <w:pPr>
              <w:spacing w:before="40" w:after="40" w:line="252" w:lineRule="auto"/>
            </w:pPr>
            <w:r>
              <w:rPr>
                <w:b w:val="0"/>
                <w:sz w:val="21"/>
              </w:rPr>
              <w:t>已完成：BTAD 显著（+0.603 / +0.576 个百分点），MPDD 不可区分</w:t>
            </w:r>
          </w:p>
        </w:tc>
        <w:tc>
          <w:tcPr>
            <w:tcW w:w="3742" w:type="dxa"/>
            <w:tcBorders>
              <w:top w:val="nil"/>
              <w:left w:val="nil"/>
              <w:bottom w:val="nil"/>
              <w:right w:val="nil"/>
            </w:tcBorders>
            <w:tcMar>
              <w:top w:w="90" w:type="dxa"/>
              <w:left w:w="90" w:type="dxa"/>
              <w:bottom w:w="90" w:type="dxa"/>
              <w:right w:w="90" w:type="dxa"/>
            </w:tcMar>
          </w:tcPr>
          <w:p w14:paraId="2CEB379E">
            <w:pPr>
              <w:spacing w:before="40" w:after="40" w:line="252" w:lineRule="auto"/>
            </w:pPr>
            <w:r>
              <w:rPr>
                <w:b w:val="0"/>
                <w:sz w:val="21"/>
              </w:rPr>
              <w:t>只写「依赖编码器与数据条件」，不写谁总体更优</w:t>
            </w:r>
          </w:p>
        </w:tc>
      </w:tr>
      <w:tr w14:paraId="6BD7F931">
        <w:tblPrEx>
          <w:tblCellMar>
            <w:top w:w="0" w:type="dxa"/>
            <w:left w:w="108" w:type="dxa"/>
            <w:bottom w:w="0" w:type="dxa"/>
            <w:right w:w="108" w:type="dxa"/>
          </w:tblCellMar>
        </w:tblPrEx>
        <w:trPr>
          <w:cantSplit/>
        </w:trPr>
        <w:tc>
          <w:tcPr>
            <w:tcW w:w="1871" w:type="dxa"/>
            <w:tcBorders>
              <w:top w:val="nil"/>
              <w:left w:val="nil"/>
              <w:bottom w:val="single" w:color="000000" w:sz="8" w:space="0"/>
              <w:right w:val="nil"/>
            </w:tcBorders>
            <w:tcMar>
              <w:top w:w="90" w:type="dxa"/>
              <w:left w:w="90" w:type="dxa"/>
              <w:bottom w:w="90" w:type="dxa"/>
              <w:right w:w="90" w:type="dxa"/>
            </w:tcMar>
          </w:tcPr>
          <w:p w14:paraId="3719CF77">
            <w:pPr>
              <w:spacing w:before="40" w:after="40" w:line="252" w:lineRule="auto"/>
            </w:pPr>
            <w:r>
              <w:rPr>
                <w:b w:val="0"/>
                <w:sz w:val="21"/>
              </w:rPr>
              <w:t>原生方法配置参照</w:t>
            </w:r>
          </w:p>
        </w:tc>
        <w:tc>
          <w:tcPr>
            <w:tcW w:w="4025" w:type="dxa"/>
            <w:tcBorders>
              <w:top w:val="nil"/>
              <w:left w:val="nil"/>
              <w:bottom w:val="single" w:color="000000" w:sz="8" w:space="0"/>
              <w:right w:val="nil"/>
            </w:tcBorders>
            <w:tcMar>
              <w:top w:w="90" w:type="dxa"/>
              <w:left w:w="90" w:type="dxa"/>
              <w:bottom w:w="90" w:type="dxa"/>
              <w:right w:w="90" w:type="dxa"/>
            </w:tcMar>
          </w:tcPr>
          <w:p w14:paraId="3A64CEA0">
            <w:pPr>
              <w:spacing w:before="40" w:after="40" w:line="252" w:lineRule="auto"/>
            </w:pPr>
            <w:r>
              <w:rPr>
                <w:b w:val="0"/>
                <w:sz w:val="21"/>
              </w:rPr>
              <w:t>72 个目标条件已产出；官方分辨率 PatchCore 与旋转版 AnomalyDINO 已补跑</w:t>
            </w:r>
          </w:p>
        </w:tc>
        <w:tc>
          <w:tcPr>
            <w:tcW w:w="3742" w:type="dxa"/>
            <w:tcBorders>
              <w:top w:val="nil"/>
              <w:left w:val="nil"/>
              <w:bottom w:val="single" w:color="000000" w:sz="8" w:space="0"/>
              <w:right w:val="nil"/>
            </w:tcBorders>
            <w:tcMar>
              <w:top w:w="90" w:type="dxa"/>
              <w:left w:w="90" w:type="dxa"/>
              <w:bottom w:w="90" w:type="dxa"/>
              <w:right w:w="90" w:type="dxa"/>
            </w:tcMar>
          </w:tcPr>
          <w:p w14:paraId="2A9F95C9">
            <w:pPr>
              <w:spacing w:before="40" w:after="40" w:line="252" w:lineRule="auto"/>
            </w:pPr>
            <w:r>
              <w:rPr>
                <w:b w:val="0"/>
                <w:sz w:val="21"/>
              </w:rPr>
              <w:t>同一共同区域口径比较，不宣称超越</w:t>
            </w:r>
          </w:p>
        </w:tc>
      </w:tr>
    </w:tbl>
    <w:p w14:paraId="5DFE5E40">
      <w:pPr>
        <w:spacing w:after="0"/>
      </w:pPr>
    </w:p>
    <w:p w14:paraId="01FDC479">
      <w:r>
        <w:t>这里的完成状态已更新为 9 月 14 日收尾轮次之后的实际产物状态，不再是编写时的快照。本轮更新没有改变任何既有预测，只补齐了新分支全像素点估计、编码器差值、共同有效区域评价与资源测量，并修正了统计辅助表与措辞。</w:t>
      </w:r>
    </w:p>
    <w:p w14:paraId="50C0DE8F">
      <w:pPr>
        <w:pStyle w:val="4"/>
      </w:pPr>
      <w:r>
        <w:t>建议老师优先批阅的四处</w:t>
      </w:r>
    </w:p>
    <w:p w14:paraId="7430C444">
      <w:pPr>
        <w:keepNext/>
      </w:pPr>
      <w:r>
        <w:t>1. 题目及核心问题是否足够集中，是否接受受控研究型论文定位。</w:t>
      </w:r>
    </w:p>
    <w:p w14:paraId="08D3C08C">
      <w:pPr>
        <w:keepNext/>
      </w:pPr>
      <w:r>
        <w:t>2. 第 1.5 节三项贡献是否具有独立价值，尤其贡献二是否比原稿的常规评价描述更有实质性。</w:t>
      </w:r>
    </w:p>
    <w:p w14:paraId="48E4A4F3">
      <w:pPr>
        <w:keepNext/>
      </w:pPr>
      <w:r>
        <w:t>3. 直接交互与实用基线证据完成后，是否还需要一个新编码器组合支持外推。</w:t>
      </w:r>
    </w:p>
    <w:p w14:paraId="7605619F">
      <w:r>
        <w:t>4. 是否同意将 ROI 与动态融合留作后续，并以 K、交互及资源曲线替代不适用的训练 loss 曲线。</w:t>
      </w:r>
    </w:p>
    <w:p w14:paraId="55F69516">
      <w:pPr>
        <w:pStyle w:val="3"/>
      </w:pPr>
      <w:r>
        <w:t>参考文献与材料依据</w:t>
      </w:r>
    </w:p>
    <w:p w14:paraId="79F9B5EC">
      <w:pPr>
        <w:pStyle w:val="4"/>
      </w:pPr>
      <w:r>
        <w:t>本轮核对的一手文献入口</w:t>
      </w:r>
    </w:p>
    <w:p w14:paraId="015E98E7">
      <w:r>
        <w:t>[1] Guo et al. Sea-CLIP: Mining Semantic-Aware Representations for Few-Shot Anomaly Detection with CLIP. WACV 2026. 全文核实已确认它同时使用 CLIP 与 DINOv2 两个视觉编码器，由异常匹配解码器拼接二者特征；同一框架内并存 J 型（DINOv2 选参考行、CLIP 在该行打分）与 L 型（CLIP 独立最近邻）匹配，因此共同/独立参考这一操作本身不是本文首创；旧差异表中「no multi-RGB-encoder fusion」的判断已被推翻。</w:t>
      </w:r>
    </w:p>
    <w:p w14:paraId="7324164C">
      <w:r>
        <w:fldChar w:fldCharType="begin"/>
      </w:r>
      <w:r>
        <w:instrText xml:space="preserve"> HYPERLINK "https://openaccess.thecvf.com/content/WACV2026/html/Guo_Sea-CLIP_Mining_Semantic-Aware_Representations_for_Few-Shot_Anomaly_Detection_with_CLIP_WACV_2026_paper.html" \h </w:instrText>
      </w:r>
      <w:r>
        <w:fldChar w:fldCharType="separate"/>
      </w:r>
      <w:r>
        <w:rPr>
          <w:rFonts w:ascii="Times New Roman" w:eastAsia="宋体"/>
        </w:rPr>
        <w:t>文献原文链接</w:t>
      </w:r>
      <w:r>
        <w:rPr>
          <w:rFonts w:ascii="Times New Roman" w:eastAsia="宋体"/>
        </w:rPr>
        <w:fldChar w:fldCharType="end"/>
      </w:r>
    </w:p>
    <w:p w14:paraId="32C5FC8D">
      <w:r>
        <w:t>[2] Damm et al. AnomalyDINO: Boosting Patch-Based Few-Shot Anomaly Detection with DINOv2. WACV 2025. 支持冻结视觉 patch 近邻方法及无需额外目标训练的定位。</w:t>
      </w:r>
    </w:p>
    <w:p w14:paraId="300E6BA6">
      <w:r>
        <w:fldChar w:fldCharType="begin"/>
      </w:r>
      <w:r>
        <w:instrText xml:space="preserve"> HYPERLINK "https://arxiv.org/abs/2405.14529" \h </w:instrText>
      </w:r>
      <w:r>
        <w:fldChar w:fldCharType="separate"/>
      </w:r>
      <w:r>
        <w:rPr>
          <w:rFonts w:ascii="Times New Roman" w:eastAsia="宋体"/>
        </w:rPr>
        <w:t>文献原文链接</w:t>
      </w:r>
      <w:r>
        <w:rPr>
          <w:rFonts w:ascii="Times New Roman" w:eastAsia="宋体"/>
        </w:rPr>
        <w:fldChar w:fldCharType="end"/>
      </w:r>
    </w:p>
    <w:p w14:paraId="21B50011">
      <w:r>
        <w:t>[3] Long et al. Revisiting Multimodal Fusion for 3D Anomaly Detection from an Architectural Perspective. arXiv:2412.17297, 2024. 研究 3D 多模态融合架构，并提出 3D-ADNAS；不应将其当作与本文完全同任务的二维固定视觉融合系统。</w:t>
      </w:r>
    </w:p>
    <w:p w14:paraId="21B50011">
      <w:pPr/>
      <w:r>
        <w:t>[4] Xu et al. SCoNE: Spherical Consistent Neighborhoods Ensemble for Effective and Efficient Multi-View Anomaly Detection. AAAI 2026, 40(19): 16083-16090；预印本 arXiv:2512.05540。把多视图异常检测的核心问题表述为跨视图一致地表示局部邻域，并对比「各视图独立邻域后对齐」与「直接用多视图实例表示一致邻域」两种做法。仅读到摘要与正式页面，正文公式待逐项核实。</w:t>
      </w:r>
    </w:p>
    <w:p w14:paraId="21B50011">
      <w:pPr/>
      <w:r>
        <w:t>[5] Sheng et al. Multi-View Anomaly Detection: Neighborhood in Locality Matters. AAAI 2019, 33(01): 4894-4901。最近邻式多视图异常检测，区分跨视图不一致异常与各视图一致异常，并显式估计正常实例集合。读到摘要与引言。</w:t>
      </w:r>
    </w:p>
    <w:p w14:paraId="21B50011">
      <w:pPr/>
      <w:r>
        <w:t>[6] Cheng et al. Neighborhood Consensus Networks for Unsupervised Multi-view Outlier Detection. AAAI 2021, 7099-7106。把不同视图的邻域结构统一为一致结构（邻域共识）。仅读到摘要与检索摘要。</w:t>
      </w:r>
    </w:p>
    <w:p w14:paraId="21B50011">
      <w:pPr/>
      <w:r>
        <w:t>[7] Chen et al. Learning Enhanced Representations via Contrasting for Multi-view Outlier Detection. DASFAA 2023, 110-120。使用邻域一致性统一各视图邻域结构。仅读到摘要。</w:t>
      </w:r>
    </w:p>
    <w:p w14:paraId="36916CD6">
      <w:r>
        <w:fldChar w:fldCharType="begin"/>
      </w:r>
      <w:r>
        <w:instrText xml:space="preserve"> HYPERLINK "https://arxiv.org/abs/2412.17297" \h </w:instrText>
      </w:r>
      <w:r>
        <w:fldChar w:fldCharType="separate"/>
      </w:r>
      <w:r>
        <w:rPr>
          <w:rFonts w:ascii="Times New Roman" w:eastAsia="宋体"/>
        </w:rPr>
        <w:t>文献原文链接</w:t>
      </w:r>
      <w:r>
        <w:rPr>
          <w:rFonts w:ascii="Times New Roman" w:eastAsia="宋体"/>
        </w:rPr>
        <w:fldChar w:fldCharType="end"/>
      </w:r>
    </w:p>
    <w:p w14:paraId="18E21BF3">
      <w:r>
        <w:t>以上仅是提纲关键定位的核对入口。正式稿按首次引用重编参考文献号，把相关工作扩充为四类（重构与单类建模、正常记忆库的少样本检测、基础模型与多分支融合、多视图邻域一致性），不把这七条入口列表当作完整文献综述。</w:t>
      </w:r>
    </w:p>
    <w:p w14:paraId="75055706">
      <w:pPr>
        <w:pStyle w:val="4"/>
      </w:pPr>
      <w:r>
        <w:t>课堂与项目材料</w:t>
      </w:r>
    </w:p>
    <w:p w14:paraId="040520F3">
      <w:r>
        <w:fldChar w:fldCharType="begin"/>
      </w:r>
      <w:r>
        <w:instrText xml:space="preserve"> HYPERLINK "D:/STUDY/My_github/sci_project/docs/lesson_notes_20260912/DCFnet_课堂修改要求与执行清单_20260912_审核定稿版.md" \h </w:instrText>
      </w:r>
      <w:r>
        <w:fldChar w:fldCharType="separate"/>
      </w:r>
      <w:r>
        <w:rPr>
          <w:rFonts w:ascii="Times New Roman" w:eastAsia="宋体"/>
        </w:rPr>
        <w:t>完整课堂要求审核定稿版</w:t>
      </w:r>
      <w:r>
        <w:rPr>
          <w:rFonts w:ascii="Times New Roman" w:eastAsia="宋体"/>
        </w:rPr>
        <w:fldChar w:fldCharType="end"/>
      </w:r>
    </w:p>
    <w:p w14:paraId="3E6B2A2C">
      <w:r>
        <w:fldChar w:fldCharType="begin"/>
      </w:r>
      <w:r>
        <w:instrText xml:space="preserve"> HYPERLINK "D:/STUDY/My_github/sci_project/docs/lesson_notes_20260912/20260912_课堂逐字稿_腾讯会议自动转写.md" \h </w:instrText>
      </w:r>
      <w:r>
        <w:fldChar w:fldCharType="separate"/>
      </w:r>
      <w:r>
        <w:rPr>
          <w:rFonts w:ascii="Times New Roman" w:eastAsia="宋体"/>
        </w:rPr>
        <w:t>课堂逐字稿</w:t>
      </w:r>
      <w:r>
        <w:rPr>
          <w:rFonts w:ascii="Times New Roman" w:eastAsia="宋体"/>
        </w:rPr>
        <w:fldChar w:fldCharType="end"/>
      </w:r>
    </w:p>
    <w:p w14:paraId="4F0EC0C0">
      <w:r>
        <w:fldChar w:fldCharType="begin"/>
      </w:r>
      <w:r>
        <w:instrText xml:space="preserve"> HYPERLINK "D:/STUDY/My_github/sci_project/docs/manuscript_revision_20260905/00_两次课程要求汇总与论文生成计划.md" \h </w:instrText>
      </w:r>
      <w:r>
        <w:fldChar w:fldCharType="separate"/>
      </w:r>
      <w:r>
        <w:rPr>
          <w:rFonts w:ascii="Times New Roman" w:eastAsia="宋体"/>
        </w:rPr>
        <w:t>此前课程规范与原稿组织</w:t>
      </w:r>
      <w:r>
        <w:rPr>
          <w:rFonts w:ascii="Times New Roman" w:eastAsia="宋体"/>
        </w:rPr>
        <w:fldChar w:fldCharType="end"/>
      </w:r>
    </w:p>
    <w:p w14:paraId="360AB6B5">
      <w:r>
        <w:fldChar w:fldCharType="begin"/>
      </w:r>
      <w:r>
        <w:instrText xml:space="preserve"> HYPERLINK "D:/STUDY/My_github/sci_project/docs/manuscript_english_polished_20260906/DCFnet_English_Polished_20260906.docx" \h </w:instrText>
      </w:r>
      <w:r>
        <w:fldChar w:fldCharType="separate"/>
      </w:r>
      <w:r>
        <w:rPr>
          <w:rFonts w:ascii="Times New Roman" w:eastAsia="宋体"/>
        </w:rPr>
        <w:t>已完成英文初稿</w:t>
      </w:r>
      <w:r>
        <w:rPr>
          <w:rFonts w:ascii="Times New Roman" w:eastAsia="宋体"/>
        </w:rPr>
        <w:fldChar w:fldCharType="end"/>
      </w:r>
    </w:p>
    <w:p w14:paraId="727F21FB">
      <w:r>
        <w:fldChar w:fldCharType="begin"/>
      </w:r>
      <w:r>
        <w:instrText xml:space="preserve"> HYPERLINK "D:/STUDY/My_github/sci_project/docs/PAPER_OUTLINE_AND_STORY_SIMPLE_20260914_CN.md" \h </w:instrText>
      </w:r>
      <w:r>
        <w:fldChar w:fldCharType="separate"/>
      </w:r>
      <w:r>
        <w:rPr>
          <w:rFonts w:ascii="Times New Roman" w:eastAsia="宋体"/>
        </w:rPr>
        <w:t>你指定的简明提纲</w:t>
      </w:r>
      <w:r>
        <w:rPr>
          <w:rFonts w:ascii="Times New Roman" w:eastAsia="宋体"/>
        </w:rPr>
        <w:fldChar w:fldCharType="end"/>
      </w:r>
    </w:p>
    <w:p w14:paraId="3E310566">
      <w:r>
        <w:fldChar w:fldCharType="begin"/>
      </w:r>
      <w:r>
        <w:instrText xml:space="preserve"> HYPERLINK "D:/STUDY/My_github/sci_project/docs/AI_HANDOFF_REPRESENTATION_MATCHING_INTERACTION_AND_ACCEPTANCE_20260914_CN.md" \h </w:instrText>
      </w:r>
      <w:r>
        <w:fldChar w:fldCharType="separate"/>
      </w:r>
      <w:r>
        <w:rPr>
          <w:rFonts w:ascii="Times New Roman" w:eastAsia="宋体"/>
        </w:rPr>
        <w:t>最新交互研究交接</w:t>
      </w:r>
      <w:r>
        <w:rPr>
          <w:rFonts w:ascii="Times New Roman" w:eastAsia="宋体"/>
        </w:rPr>
        <w:fldChar w:fldCharType="end"/>
      </w:r>
    </w:p>
    <w:p w14:paraId="5BD1BCDE">
      <w:r>
        <w:fldChar w:fldCharType="begin"/>
      </w:r>
      <w:r>
        <w:instrText xml:space="preserve"> HYPERLINK "D:/STUDY/My_github/sci_project/docs/PROJECT_HANDOFF_AND_INNOVATION_STATUS_20260914_CN.md" \h </w:instrText>
      </w:r>
      <w:r>
        <w:fldChar w:fldCharType="separate"/>
      </w:r>
      <w:r>
        <w:rPr>
          <w:rFonts w:ascii="Times New Roman" w:eastAsia="宋体"/>
        </w:rPr>
        <w:t>此前证据审阅</w:t>
      </w:r>
      <w:r>
        <w:rPr>
          <w:rFonts w:ascii="Times New Roman" w:eastAsia="宋体"/>
        </w:rPr>
        <w:fldChar w:fldCharType="end"/>
      </w:r>
    </w:p>
    <w:p w14:paraId="16ED63D2">
      <w:r>
        <w:fldChar w:fldCharType="begin"/>
      </w:r>
      <w:r>
        <w:instrText xml:space="preserve"> HYPERLINK "D:/STUDY/My_github/sci_project/experiments/dynamic_fusion/paper_evidence_closeout_20260914/01_statistics/AGGREGATED_EFFECTS.csv" \h </w:instrText>
      </w:r>
      <w:r>
        <w:fldChar w:fldCharType="separate"/>
      </w:r>
      <w:r>
        <w:rPr>
          <w:rFonts w:ascii="Times New Roman" w:eastAsia="宋体"/>
        </w:rPr>
        <w:t>已修正成对效应汇总</w:t>
      </w:r>
      <w:r>
        <w:rPr>
          <w:rFonts w:ascii="Times New Roman" w:eastAsia="宋体"/>
        </w:rPr>
        <w:fldChar w:fldCharType="end"/>
      </w:r>
    </w:p>
    <w:p w14:paraId="0BEEA504">
      <w:r>
        <w:fldChar w:fldCharType="begin"/>
      </w:r>
      <w:r>
        <w:instrText xml:space="preserve"> HYPERLINK "D:/STUDY/My_github/sci_project/experiments/dynamic_fusion/representation_matching_interaction_20260914/00_protocol/S0_SUMMARY.json" \h </w:instrText>
      </w:r>
      <w:r>
        <w:fldChar w:fldCharType="separate"/>
      </w:r>
      <w:r>
        <w:rPr>
          <w:rFonts w:ascii="Times New Roman" w:eastAsia="宋体"/>
        </w:rPr>
        <w:t>交互研究新目录的几何阶段记录</w:t>
      </w:r>
      <w:r>
        <w:rPr>
          <w:rFonts w:ascii="Times New Roman" w:eastAsia="宋体"/>
        </w:rPr>
        <w:fldChar w:fldCharType="end"/>
      </w:r>
    </w:p>
    <w:p w14:paraId="5917450E">
      <w:r>
        <w:t>另参考同项目任务“探索项目创新优化方向”的最新主题讨论。本提纲优先采用最新交接和实际产物状态，不继续沿用 9 月 12 日清单中“第三分支尚未实现”的历史状态；课堂的真实性、格式和证据要求继续保留。</w:t>
      </w:r>
    </w:p>
    <w:sectPr>
      <w:headerReference r:id="rId5" w:type="default"/>
      <w:footerReference r:id="rId6" w:type="default"/>
      <w:pgSz w:w="11906" w:h="16838"/>
      <w:pgMar w:top="1134" w:right="1134" w:bottom="1134" w:left="1134" w:header="720"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5D54F">
    <w:pPr>
      <w:pStyle w:val="24"/>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53521">
    <w:pPr>
      <w:pStyle w:val="25"/>
    </w:pPr>
    <w:r>
      <w:rPr>
        <w:sz w:val="16"/>
      </w:rPr>
      <w:t>新增视觉表征与正常参考匹配  论文提纲  2026 年 9 月 14 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7227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220" w:after="120" w:line="264"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20" w:after="120" w:line="264"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20" w:after="120" w:line="264" w:lineRule="auto"/>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20" w:after="120" w:line="264" w:lineRule="auto"/>
      <w:outlineLvl w:val="3"/>
    </w:pPr>
    <w:rPr>
      <w:rFonts w:asciiTheme="majorHAnsi" w:hAnsiTheme="majorHAnsi" w:eastAsiaTheme="majorEastAsia" w:cstheme="majorBidi"/>
      <w:b/>
      <w:bCs/>
      <w:i/>
      <w:iCs/>
      <w:color w:val="000000"/>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20" w:line="264"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5074</Words>
  <Characters>5522</Characters>
  <Lines>0</Lines>
  <Paragraphs>0</Paragraphs>
  <TotalTime>69</TotalTime>
  <ScaleCrop>false</ScaleCrop>
  <LinksUpToDate>false</LinksUpToDate>
  <CharactersWithSpaces>5691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李越宁</cp:lastModifiedBy>
  <dcterms:modified xsi:type="dcterms:W3CDTF">2026-09-14T10:02:42Z</dcterms:modified>
  <dc:subject>新增视觉表征与正常参考匹配的交互研究</dc:subject>
  <dc:title>新主题论文详细提纲 导师审阅版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eyJoZGlkIjoiN2Y3NmM2MjEyOThmNDZmOWM0NGM2NGNlY2YzYTVjNjUiLCJ1c2VySWQiOiIxNzU0NDMwMjMzIn0=</vt:lpwstr>
  </property>
  <property fmtid="{D5CDD505-2E9C-101B-9397-08002B2CF9AE}" pid="3" name="KSOProductBuildVer">
    <vt:lpwstr>2052-12.1.0.28505</vt:lpwstr>
  </property>
  <property fmtid="{D5CDD505-2E9C-101B-9397-08002B2CF9AE}" pid="4" name="ICV">
    <vt:lpwstr>D8AD55E57AA542AE858301E40933D562_12</vt:lpwstr>
  </property>
</Properties>
</file>