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DCFnet 近两年对照算法调研与实验规划</w:t>
      </w:r>
    </w:p>
    <w:p>
      <w:pPr>
        <w:widowControl/>
      </w:pPr>
      <w:r>
        <w:t>检索截止 2026 年 9 月 10 日    供论文实验补强与导师讨论使用</w:t>
      </w:r>
    </w:p>
    <w:p>
      <w:pPr>
        <w:widowControl/>
      </w:pPr>
      <w:r>
        <w:t>建议新增 SubspaceAD 和 UniVAD 两条代表性对照路线，优先补齐已有 ReMP-AD 的完整协议，并核查补齐 AdaptCLIP 的现有部分结果。FastRef、FoundAD 和 RadioCore 保留在候选池，按代码可用性、训练设置和资源条件推进。本轮只完成文献核查与实验规划，没有运行新实验，也不把论文公开成绩当作本地结果。</w:t>
      </w:r>
    </w:p>
    <w:p>
      <w:pPr>
        <w:pStyle w:val="Heading2"/>
        <w:widowControl/>
      </w:pPr>
      <w:r>
        <w:t>一 先回答实验缺口</w:t>
      </w:r>
    </w:p>
    <w:p>
      <w:pPr>
        <w:widowControl/>
      </w:pPr>
      <w:r>
        <w:t>现稿的主要证据是 DCFnet 相对匹配 DINO-only 的增益，广义对照仍以 PatchCore、WinCLIP+、AnomalyDINO 和 PromptAD 为主。仅增加近年引用不足以解决对照偏旧的问题，需要至少补入近期完整算法的同测试集实测结果，同时保留两种单分支对照来解释融合本身。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118"/>
        <w:gridCol w:w="4989"/>
      </w:tblGrid>
      <w:tr>
        <w:trPr>
          <w:cantSplit/>
          <w:tblHeader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建议顺序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主要作用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第一优先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SubspaceAD  CVPR 2026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检验正常子空间重构能否替代双分支检索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第一优先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UniVAD  CVPR 2025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加入组件建模与基础模型组合的代表方法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并行补齐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ReMP-AD  ICCV 2025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利用已有代码和结果，补足近年少样本方法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条件推进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AdaptCLIP  AAAI 2026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已有 MVTec 三 seed 的 1-shot 输出，核查后补齐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后续候选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FoundAD  ICLR 2026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比较少量正常样本训练投影器的另一条路线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二 本文对热门的处理</w:t>
      </w:r>
    </w:p>
    <w:p>
      <w:pPr>
        <w:widowControl/>
      </w:pPr>
      <w:r>
        <w:t>范围以 2025—2026 年正式会议论文为主，兼顾 2024 年必要基线。这里的“热门”指近期主流研究路线和代表性会议工作，不声称做过引用量或 GitHub 热度排名。优先依据任务契合度、独立机制、正式论文和作者代码筛选；Workshop 与主会分开标注，代码链接存在也不等于可以立即复现。</w:t>
      </w:r>
    </w:p>
    <w:p>
      <w:pPr>
        <w:widowControl/>
      </w:pPr>
      <w:r>
        <w:t>核心结论是扩充有解释力的对照，而不是只挑预期弱于 DCFnet 的算法。即使新方法明显更强，也应保留结果并调整论文定位。现稿 AnomalyDINO 的 P-AP 已高于 DCFnet，不能继续以“全面最优”作为预设结论。</w:t>
      </w:r>
    </w:p>
    <w:p>
      <w:pPr>
        <w:pStyle w:val="Heading1"/>
        <w:pageBreakBefore/>
        <w:widowControl/>
      </w:pPr>
      <w:r>
        <w:t>三 近期候选算法总览</w:t>
      </w:r>
    </w:p>
    <w:p>
      <w:pPr>
        <w:widowControl/>
      </w:pPr>
      <w:r>
        <w:t>优先级为本项目建议；资源判断是基于结构与已有环境的工程估计，未经本机测速。论文与作者仓库链接见文末编号来源。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05"/>
        <w:gridCol w:w="2154"/>
        <w:gridCol w:w="2665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算法与年份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方法与数据使用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对照定位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代码与建议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SubspaceAD</w:t>
              <w:br/>
              <w:t>CVPR 2026 [1]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冻结 DINOv2 特征与 PCA 残差；正常少样本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最接近的纯视觉对照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代码公开；优先。默认 giant 与 672px 需资源预检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UniVAD</w:t>
              <w:br/>
              <w:t>CVPR 2025 [2]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正常参考与组件分割、patch 匹配、关系建模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完整系统对照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代码公开；优先。HQ-SAM、GroundingDINO 增加成本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ReMP-AD</w:t>
              <w:br/>
              <w:t>ICCV 2025 [3]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检索增强及视觉语言先验；需核对源训练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跨域预训练对照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已有本地基础；优先补齐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AdaptCLIP</w:t>
              <w:br/>
              <w:t>AAAI 2026 [4]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源域训练视觉、文本和提示查询适配器；目标域少样本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源训练与文本信息对照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代码和权重已有；核查部分输出后补齐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FoundAD</w:t>
              <w:br/>
              <w:t>ICLR 2026 [5]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基础编码器加学习的非线性流形投影器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目标正常样本适配对照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代码及投影器权重公开；单独成组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FastRef</w:t>
              <w:br/>
              <w:t>CVPR 2026 [6]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逐查询原型精化；适用于记忆类方法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测试时适配对照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仓库元信息可达，文件清单未核实；条件候选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RadioCore</w:t>
              <w:br/>
              <w:t>CVPRW 2026 [7]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RADIOv2.5 多尺度正常特征与近邻检索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较新视觉骨干参考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作者仓库仅 Coming soon；暂不排正式运行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AA-CLIP</w:t>
              <w:br/>
              <w:t>CVPR 2025 [8]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两阶段异常感知适配，主要是零样本设置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零样本背景组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论文提供作者代码入口；不占少样本主表名额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FAPrompt</w:t>
              <w:br/>
              <w:t>ICCV 2025 [9]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细粒度异常提示与查询相关先验，零样本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零样本背景组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论文提供作者代码入口；按需选一个补充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Dinomaly</w:t>
              <w:br/>
              <w:t>CVPR 2025 [10]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多类别正常数据训练的重构框架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全量正常训练背景组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有作者实现；不与 K-shot 方法无区别排名</w:t>
            </w:r>
          </w:p>
        </w:tc>
      </w:tr>
    </w:tbl>
    <w:p>
      <w:pPr>
        <w:widowControl/>
      </w:pPr>
    </w:p>
    <w:p>
      <w:pPr>
        <w:widowControl/>
      </w:pPr>
      <w:r>
        <w:t>保留 AnomalyDINO（WACV 2025）作为已有的近期强基线。它的完整原生流程与匹配 DINO-only 不是同一对象，应分别命名与统计。[11]</w:t>
      </w:r>
    </w:p>
    <w:p>
      <w:pPr>
        <w:pStyle w:val="Heading1"/>
        <w:pageBreakBefore/>
        <w:widowControl/>
      </w:pPr>
      <w:r>
        <w:t>四 优先算法的复现决策</w:t>
      </w:r>
    </w:p>
    <w:p>
      <w:pPr>
        <w:pStyle w:val="Heading2"/>
        <w:widowControl/>
      </w:pPr>
      <w:r>
        <w:t>SubspaceAD</w:t>
      </w:r>
    </w:p>
    <w:p>
      <w:pPr>
        <w:widowControl/>
      </w:pPr>
      <w:r>
        <w:t>冻结视觉特征后，用少量正常样本拟合 PCA 子空间，以重构残差检测异常。这直接检验“更简单的正常分布模型是否已经足够”。作者仓库提供 1、2、4-shot 脚本；示例使用 DINOv2 with registers giant、672 分辨率、30 次增强及 0.99 保留方差。[1]</w:t>
      </w:r>
    </w:p>
    <w:p>
      <w:pPr>
        <w:widowControl/>
      </w:pPr>
      <w:r>
        <w:t>安排两条清楚分开的结果：官方骨干与官方配置作为完整方法对照；另用 DCFnet 的 DINOv2-B 特征做“受控 PCA 残差变体”，仅用于机制分析。后者不能命名为官方 SubspaceAD 复现。不得用其 batched zero-shot 脚本替代 few-shot，前者会利用整批测试集拟合 PCA。</w:t>
      </w:r>
    </w:p>
    <w:p>
      <w:pPr>
        <w:widowControl/>
      </w:pPr>
      <w:r>
        <w:t>版本风险：当前 README 中 MVTec 1-shot I-AUROC 为 97.1，而正式 CVPR 摘要为 98.0；VisA 也有差异。实验前锁定论文版本、代码提交、骨干、增强、随机种子和指标实现，不直接抄数合表。</w:t>
      </w:r>
    </w:p>
    <w:p>
      <w:pPr>
        <w:pStyle w:val="Heading2"/>
        <w:widowControl/>
      </w:pPr>
      <w:r>
        <w:t>UniVAD</w:t>
      </w:r>
    </w:p>
    <w:p>
      <w:pPr>
        <w:widowControl/>
      </w:pPr>
      <w:r>
        <w:t>UniVAD 用组件聚类与分割、组件内 patch 匹配和组件关系建模处理视觉异常，能提供比全局 patch 检索更丰富的完整系统参照。作者实现需要额外的 HQ-SAM 与 GroundingDINO 权重，并先执行组件分割。[2]</w:t>
      </w:r>
    </w:p>
    <w:p>
      <w:pPr>
        <w:widowControl/>
      </w:pPr>
      <w:r>
        <w:t>先测 batch 1 的依赖可用性、显存和预分割耗时。对照保留其原有组件模块与语言相关依赖，表内注明这些额外先验；不要删除模块后仍以完整 UniVAD 命名。若 6 GB 环境无法忠实运行，保留阻塞记录，待更大显存条件再执行。</w:t>
      </w:r>
    </w:p>
    <w:p>
      <w:pPr>
        <w:pStyle w:val="Heading2"/>
        <w:widowControl/>
      </w:pPr>
      <w:r>
        <w:t>ReMP-AD</w:t>
      </w:r>
    </w:p>
    <w:p>
      <w:pPr>
        <w:widowControl/>
      </w:pPr>
      <w:r>
        <w:t>ICTR 检索与 VLPF 视觉语言融合与本课题关系紧密，是已有工程资产中优先补齐的一项。[3]现稿只把一个源训练配置下的三种 shot 汇总作补充背景，不能把它当作完整三种参考随机种子的 9 配置结果。</w:t>
      </w:r>
    </w:p>
    <w:p>
      <w:pPr>
        <w:widowControl/>
      </w:pPr>
      <w:r>
        <w:t>先核对每个目标数据集对应检查点的源训练数据，再导出与 DCFnet 相同 support 清单和测试文件的预测。固定源模型时，三种 reference seed 表示参考抽样波动，不表示三次模型训练波动；论文应分别说明。</w:t>
      </w:r>
    </w:p>
    <w:p>
      <w:pPr>
        <w:pStyle w:val="Heading1"/>
        <w:pageBreakBefore/>
        <w:widowControl/>
      </w:pPr>
      <w:r>
        <w:t>五 条件候选与已有资产</w:t>
      </w:r>
    </w:p>
    <w:p>
      <w:pPr>
        <w:pStyle w:val="Heading2"/>
        <w:widowControl/>
      </w:pPr>
      <w:r>
        <w:t>AdaptCLIP</w:t>
      </w:r>
    </w:p>
    <w:p>
      <w:pPr>
        <w:widowControl/>
      </w:pPr>
      <w:r>
        <w:t>AAAI 2026 正式论文明确：先在基准源数据上训练适配器，然后对目标域零或少样本泛化。因此“目标域不训练”不能写成“从未接受异常任务训练”。[4]作者 README 还记录过 pq_context=False 导致结果偏低的设置问题，值得与本地实现对照，但不能据此直接判定本地失败原因。</w:t>
      </w:r>
    </w:p>
    <w:p>
      <w:pPr>
        <w:widowControl/>
      </w:pPr>
      <w:r>
        <w:t>本地已有 MVTec 三种 seed 的 1-shot 完整输出，报告显示 validation_errors=0；另有 MPDD 路线未通过记录，两者不能混同。环境早期失败后来已有修复。扩展前检查检查点方向、上下文开关、support 身份、缓存与预处理、分数方向，以及训练域和目标域是否混用。每次只改变有证据的错误项。若对应官方配置仍无法通过一致性核查，应报告异常与停止扩跑，不为追近论文数字调测试参数。</w:t>
      </w:r>
    </w:p>
    <w:p>
      <w:pPr>
        <w:pStyle w:val="Heading2"/>
        <w:widowControl/>
      </w:pPr>
      <w:r>
        <w:t>FoundAD</w:t>
      </w:r>
    </w:p>
    <w:p>
      <w:pPr>
        <w:widowControl/>
      </w:pPr>
      <w:r>
        <w:t>ICLR 2026 的 FoundAD 学习非线性投影器，作者仓库提供 few-shot 采样、训练和推理脚本，以及 DINOv3 对应投影器入口。[5]它适合回答“允许 K 张正常样本训练轻量模块是否更有效”，但不属于 DCFnet 的纯冻结目标域流程。</w:t>
      </w:r>
    </w:p>
    <w:p>
      <w:pPr>
        <w:widowControl/>
      </w:pPr>
      <w:r>
        <w:t>建议列为第二阶段，用相同正常样本身份重新训练，而不是直接采用参考集合未知的现成投影器。DINOv3 权重访问、官方训练配置与本机显存可行性均作为预检项。若跨类别共同训练，要另外说明类别信息共享。</w:t>
      </w:r>
    </w:p>
    <w:p>
      <w:pPr>
        <w:pStyle w:val="Heading2"/>
        <w:widowControl/>
      </w:pPr>
      <w:r>
        <w:t>FastRef 与 RadioCore</w:t>
      </w:r>
    </w:p>
    <w:p>
      <w:pPr>
        <w:widowControl/>
      </w:pPr>
      <w:r>
        <w:t>FastRef 通过查询特征与最优输运约束逐查询精化原型，与固定记忆读出不同。[6]本地已有 FastRef 型算子叠加 A1 融合特征的失败探针；这既不等于官方完整方法复现，也不能据此排除它作为强对照。只有核实作者代码或完成独立算法一致性审计后才排正式实验，且每个查询重置到原始支持状态。</w:t>
      </w:r>
    </w:p>
    <w:p>
      <w:pPr>
        <w:widowControl/>
      </w:pPr>
      <w:r>
        <w:t>RadioCore 是 CVPR 2026 Workshop 工作，机制贴近本课题，但作者仓库当前只有 README 和 Coming soon。[7]列作文献跟进，不承诺复现排期。</w:t>
      </w:r>
    </w:p>
    <w:p>
      <w:pPr>
        <w:pStyle w:val="Heading2"/>
        <w:widowControl/>
      </w:pPr>
      <w:r>
        <w:t>资产复用原则</w:t>
      </w:r>
    </w:p>
    <w:p>
      <w:pPr>
        <w:widowControl/>
      </w:pPr>
      <w:r>
        <w:t>本地已具备 SubspaceAD 源码与约 4.23 GiB 的 giant 检查点，并有 MPDD 开发阶段 G2 审计；其 paper_eligible=false 不代表算法不可用，而是不能直接充当正式跨数据集对照。AdaptCLIP 已有 MVTec 3 seeds×1-shot，ReMP-AD 已有 MVTec 1/2/4-shot，但均未形成两主数据集的完整统一矩阵。以上是输出存在性与记录核查，仍需验证新旧评价口径。</w:t>
      </w:r>
    </w:p>
    <w:p>
      <w:pPr>
        <w:widowControl/>
      </w:pPr>
      <w:r>
        <w:t>复用现有 PatchCore、WinCLIP+、AnomalyDINO、PromptAD、DCFnet 和单分支结果前，逐行核验支持图身份、seed/shot、预测文件、检查点及评价器版本。已有结果与新结果只有在口径一致时才能合表。研究探针、近似实现和官方方法必须分别命名；已存在脚本不代表结果已通过审核。</w:t>
      </w:r>
    </w:p>
    <w:p>
      <w:pPr>
        <w:pStyle w:val="Heading1"/>
        <w:pageBreakBefore/>
        <w:widowControl/>
      </w:pPr>
      <w:r>
        <w:t>六 公平比较协议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458"/>
        <w:gridCol w:w="425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比较组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允许的数据与学习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如何报告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A 冻结少样本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K 张目标正常参考，冻结特征；可做确定性建模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DCFnet、AnomalyDINO、SubspaceAD；UniVAD 标注额外基础模型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B 源域训练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额外源数据训练后，使用 K 张目标正常参考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ReMP-AD、AdaptCLIP；逐项列出源数据及监督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C 目标正常适配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只用相同 K 张目标正常图优化目标模块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FoundAD、PromptAD；报告训练时间和参数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D 额外设置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零样本、全量正常训练、整批测试统计或测试时优化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AA-CLIP、FAPrompt、Dinomaly、FastRef 分小组说明</w:t>
            </w:r>
          </w:p>
        </w:tc>
      </w:tr>
    </w:tbl>
    <w:p>
      <w:pPr>
        <w:widowControl/>
      </w:pPr>
    </w:p>
    <w:p>
      <w:pPr>
        <w:widowControl/>
      </w:pPr>
      <w:r>
        <w:t>先复现官方方法：保留原生编码器、输入分辨率、图像分数聚合与后处理。统一的是 support 身份、测试文件集合、指标代码与结果记录，不把所有算法强行改成 DCFnet 的 σ=4 或最大值池化。统一骨干、统一特征的实验另列为受控变体。</w:t>
      </w:r>
    </w:p>
    <w:p>
      <w:pPr>
        <w:pStyle w:val="Heading2"/>
        <w:widowControl/>
      </w:pPr>
      <w:r>
        <w:t>样本与数据角色</w:t>
      </w:r>
    </w:p>
    <w:p>
      <w:pPr>
        <w:widowControl/>
      </w:pPr>
      <w:r>
        <w:t>主对照先用 MVTec AD 与 VisA 全类别，K=1、2、4，reference seed=0、1、2，每个方法每个数据集 9 个配置。使用清单文件共享实际图像路径，不仅共享 seed 数字；若重新生成清单，采用嵌套抽样并让全部方法重跑。增强图不增加名义 shot，但必须报告增强次数。</w:t>
      </w:r>
    </w:p>
    <w:p>
      <w:pPr>
        <w:widowControl/>
      </w:pPr>
      <w:r>
        <w:t>沿用现稿的数据角色：MPDD 为开发集，BTAD 和 MVTec AD 为冻结外部验证，VisA 保守记为域内冻结验证。现稿配置已经看过验证结果，不能再把本轮称为首次盲测。新方法用官方参数；任何本地选参仅在 MPDD 或预先划定的开发部分进行，不按外部 P-AP 选择算法、检查点、分辨率或阈值。</w:t>
      </w:r>
    </w:p>
    <w:p>
      <w:pPr>
        <w:pStyle w:val="Heading2"/>
        <w:widowControl/>
      </w:pPr>
      <w:r>
        <w:t>评价口径</w:t>
      </w:r>
    </w:p>
    <w:p>
      <w:pPr>
        <w:widowControl/>
      </w:pPr>
      <w:r>
        <w:t>主指标为 P-AP，补充 P-AUROC、P-AUPRO（FPR≤0.30）及 I-AUROC、I-AP、I-F1max。先在类别内汇总，再等权宏平均。现稿实际口径是 448×448 预测及 mask、stride 8 像素采样；旧 configs/protocol.yaml 的 224 不是当前论文口径。</w:t>
      </w:r>
    </w:p>
    <w:p>
      <w:pPr>
        <w:widowControl/>
      </w:pPr>
      <w:r>
        <w:t>保留旧口径作为可追溯表，同时建议离线补算全部方法的 448 全像素指标，分别标注 stride 8 与 full grid，不混写。严格区分 average_precision 与梯形积分 PR-AUC；官方 AUPR 不能自动视为项目 AP。mask 用最近邻，分数图用坐标一致的连续插值。I-F1max 仅为事后评估，不是部署阈值。</w:t>
      </w:r>
    </w:p>
    <w:p>
      <w:pPr>
        <w:pStyle w:val="Heading1"/>
        <w:pageBreakBefore/>
        <w:widowControl/>
      </w:pPr>
      <w:r>
        <w:t>七 分阶段实验矩阵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082"/>
        <w:gridCol w:w="4025"/>
      </w:tblGrid>
      <w:tr>
        <w:trPr>
          <w:cantSplit/>
          <w:tblHeader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范围与规模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DCE6EF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通过条件与产物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P0 协议预检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3 个优先方法；核验源码、权重和清单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生成版本表、训练域表、预测接口样例；不按指标高低淘汰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P1 小规模跑通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3 方法 × 2 数据集 × 2 类 × K1 × seed0</w:t>
              <w:br/>
              <w:t>共 12 个类别运行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预测有穷、方向正确、尺寸正确、无标签进入模型；记录显存与用时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P2 主表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3 方法 × 2 数据集 × 3 shots × 3 seeds</w:t>
              <w:br/>
              <w:t>54 个数据集配置；729 个类别运行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MVTec 15 类与 VisA 12 类完整；保存成功与失败日志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P3 外延验证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同 3 方法扩 MPDD 6 类、BTAD 3 类</w:t>
              <w:br/>
              <w:t>另 54 个数据集配置；243 个类别运行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不改参数；主要检验工业金属部件与小类别数据稳定性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P4 条件扩展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AdaptCLIP 核查通过后追加；FoundAD 单列训练组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新增 1 方法在两主数据集为 18 个配置、243 个类别运行</w:t>
            </w:r>
          </w:p>
        </w:tc>
      </w:tr>
    </w:tbl>
    <w:p>
      <w:pPr>
        <w:widowControl/>
      </w:pPr>
    </w:p>
    <w:p>
      <w:pPr>
        <w:widowControl/>
      </w:pPr>
      <w:r>
        <w:t>P2 中“3 方法”指 SubspaceAD、UniVAD 和 ReMP-AD；729=3×(15+12)×9。计数是计划上限，不含已有方法的复核与重评分，也不是三个方法一定能在当前硬件完成的承诺。若 UniVAD 资源预检失败，先完成其余 2 方法的 36 个配置，并保留缺项。</w:t>
      </w:r>
    </w:p>
    <w:p>
      <w:pPr>
        <w:pStyle w:val="Heading2"/>
        <w:widowControl/>
      </w:pPr>
      <w:r>
        <w:t>小规模样本与停止规则</w:t>
      </w:r>
    </w:p>
    <w:p>
      <w:pPr>
        <w:widowControl/>
      </w:pPr>
      <w:r>
        <w:t>预检可固定 MVTec bottle 与 grid、VisA pcb1 与 cashew，各类选少量正常和异常测试样本仅检查输出链路；这批样本不用于选超参数。正式结果必须跑完整测试集。输入路径缺失、source checkpoint 不适用、输出异常或显存不足可以停止；“分数高于 DCFnet”不能成为停止原因。</w:t>
      </w:r>
    </w:p>
    <w:p>
      <w:pPr>
        <w:pStyle w:val="Heading2"/>
        <w:widowControl/>
      </w:pPr>
      <w:r>
        <w:t>同时补的受控实验</w:t>
      </w:r>
    </w:p>
    <w:p>
      <w:pPr>
        <w:widowControl/>
      </w:pPr>
      <w:r>
        <w:t>优先补“特征拼接后一次检索”与“两分支各自检索后平均分数”，保持支持图、分支特征及后处理一致。随后评估分支归一化、DPAM 路径与网格对齐的必要性；每次只改变一个可定义因素。联合 L2 在等权单位分支下主要改变常数尺度，不应为了凑创新强行预设排名指标提升。</w:t>
      </w:r>
    </w:p>
    <w:p>
      <w:pPr>
        <w:widowControl/>
      </w:pPr>
      <w:r>
        <w:t>资源紧张时先完成近期对照主表和上述一次检索对两次检索实验，再考虑更多模块组合。新增 baseline 的任务是检验竞争力；消融实验的任务是解释机制，两者不能相互替代。</w:t>
      </w:r>
    </w:p>
    <w:p>
      <w:pPr>
        <w:pStyle w:val="Heading1"/>
        <w:pageBreakBefore/>
        <w:widowControl/>
      </w:pPr>
      <w:r>
        <w:t>八 资源安排与论文产物</w:t>
      </w:r>
    </w:p>
    <w:p>
      <w:pPr>
        <w:pStyle w:val="Heading2"/>
        <w:widowControl/>
      </w:pPr>
      <w:r>
        <w:t>执行预算</w:t>
      </w:r>
    </w:p>
    <w:p>
      <w:pPr>
        <w:widowControl/>
      </w:pPr>
      <w:r>
        <w:t>现稿记录 RTX 3060 Laptop 6 GB、约 16 GB RAM。这里用它作为保守规划基准，并非本轮硬件实时测量。一次只运行一个 GPU 任务，先查当前占用和磁盘余量。每个方法独立环境，避免改坏现有 PyTorch 与 CUDA 依赖。优先 batch 1、按类别串行和按需加载权重。</w:t>
      </w:r>
    </w:p>
    <w:p>
      <w:pPr>
        <w:widowControl/>
      </w:pPr>
      <w:r>
        <w:t>SubspaceAD 的 giant/672 与 UniVAD 的多基础模型属于资源风险较高项。若只能换小骨干或降分辨率，必须同时改结果名称并披露；不能把降配结果当作官方配置。FoundAD 另计训练资源。混合精度、CPU offload 或离线缓存若改变路径，均在记录中注明。</w:t>
      </w:r>
    </w:p>
    <w:p>
      <w:pPr>
        <w:widowControl/>
      </w:pPr>
      <w:r>
        <w:t>规划工期仅作工程预估：P0 用 1—2 个工作日，P1 用 1—2 个工作日，P2 接口与汇总用 2—4 个工作日，再加实际 GPU 时间。总 GPU 时间在预检后估算：各配置建库或训练时间，加各类别测试图数乘实测平均推理时间，再预留约 30% 故障重跑预算。不要用论文在 H100 上的速度承诺本机工期。</w:t>
      </w:r>
    </w:p>
    <w:p>
      <w:pPr>
        <w:pStyle w:val="Heading2"/>
        <w:widowControl/>
      </w:pPr>
      <w:r>
        <w:t>统一交付字段</w:t>
      </w:r>
    </w:p>
    <w:p>
      <w:pPr>
        <w:widowControl/>
      </w:pPr>
      <w:r>
        <w:t>每个运行保存 method、variant、commit、checkpoint SHA256、训练源数据及监督、target dataset、support 路径与清单 hash、K、reference seed、training seed（若有）、输入和输出尺寸、精度、后处理、image_id、image score、pixel map、metric version、耗时、峰值显存、失败状态。NPZ 或逐类文件均可，避免把所有全分辨率预测同时放入内存。</w:t>
      </w:r>
    </w:p>
    <w:p>
      <w:pPr>
        <w:pStyle w:val="Heading2"/>
        <w:widowControl/>
      </w:pPr>
      <w:r>
        <w:t>论文表与图</w:t>
      </w:r>
    </w:p>
    <w:p>
      <w:pPr>
        <w:widowControl/>
      </w:pPr>
      <w:r>
        <w:t>主表按 K 分开列三种 seed 的均值与样本标准差，以“额外源训练、目标适配、文本、骨干、分辨率、测试时处理”标明协议差异；九配置总均值仅作补充，不掩盖 shot 变化。主表只放本地核验结果，文献原值另表列出并注明不可直接比较。</w:t>
      </w:r>
    </w:p>
    <w:p>
      <w:pPr>
        <w:widowControl/>
      </w:pPr>
      <w:r>
        <w:t>至少补三种展示：近期方法全指标表；P-AP 与端到端耗时或显存的关系图；同一组查询图的成功与失败可视化。异常图采用同样展示规则，不按单图 GT 调色或挑阈值。类别得失图保留退化类别，避免只选 DCFnet 获胜案例。</w:t>
      </w:r>
    </w:p>
    <w:p>
      <w:pPr>
        <w:pStyle w:val="Heading2"/>
        <w:widowControl/>
      </w:pPr>
      <w:r>
        <w:t>统计与完成标准</w:t>
      </w:r>
    </w:p>
    <w:p>
      <w:pPr>
        <w:widowControl/>
      </w:pPr>
      <w:r>
        <w:t>同一 K 下配对比较相同 seed 和类别。类别 bootstrap 可沿用 2000 次与 95% 区间，先在 seed 内配对并说明汇总层级；仅 3 个 seed 时不要把共享测试集当作独立大样本。报告效应量及类别失败边界，区间跨零就如实表述。</w:t>
      </w:r>
    </w:p>
    <w:p>
      <w:pPr>
        <w:widowControl/>
      </w:pPr>
      <w:r>
        <w:t>完成标准：至少两条近期完整算法在两主数据集上形成可追溯实测表，补齐一个已有近期少样本方法的覆盖；同时给出协议差异、失败记录、资源代价和一个关键受控实验。若官方模型无法取得或硬件不足，记录缺项及替代边界，不填造结果。</w:t>
      </w:r>
    </w:p>
    <w:p>
      <w:pPr>
        <w:pStyle w:val="Heading1"/>
        <w:pageBreakBefore/>
        <w:widowControl/>
      </w:pPr>
      <w:r>
        <w:t>九 主要来源与本地依据</w:t>
      </w:r>
    </w:p>
    <w:p>
      <w:pPr>
        <w:widowControl/>
      </w:pPr>
      <w:r>
        <w:t>以下为本轮核对的正式论文和作者仓库。访问日期为 2026 年 9 月 10 日。编号对应正文；仓库状态会变化，正式执行时须再次锁定提交和权重。</w:t>
      </w:r>
    </w:p>
    <w:p>
      <w:pPr>
        <w:widowControl/>
      </w:pPr>
      <w:r>
        <w:t xml:space="preserve">[1] SubspaceAD  CVPR 2026  </w:t>
      </w:r>
      <w:hyperlink r:id="rId11">
        <w:r>
          <w:rPr>
            <w:color w:val="175D8D"/>
          </w:rPr>
          <w:t>论文</w:t>
        </w:r>
      </w:hyperlink>
      <w:r>
        <w:t xml:space="preserve">  </w:t>
      </w:r>
      <w:hyperlink r:id="rId12">
        <w:r>
          <w:rPr>
            <w:color w:val="175D8D"/>
          </w:rPr>
          <w:t>作者仓库</w:t>
        </w:r>
      </w:hyperlink>
    </w:p>
    <w:p>
      <w:pPr>
        <w:widowControl/>
      </w:pPr>
      <w:r>
        <w:t xml:space="preserve">[2] UniVAD  CVPR 2025  </w:t>
      </w:r>
      <w:hyperlink r:id="rId13">
        <w:r>
          <w:rPr>
            <w:color w:val="175D8D"/>
          </w:rPr>
          <w:t>论文</w:t>
        </w:r>
      </w:hyperlink>
      <w:r>
        <w:t xml:space="preserve">  </w:t>
      </w:r>
      <w:hyperlink r:id="rId14">
        <w:r>
          <w:rPr>
            <w:color w:val="175D8D"/>
          </w:rPr>
          <w:t>作者仓库</w:t>
        </w:r>
      </w:hyperlink>
    </w:p>
    <w:p>
      <w:pPr>
        <w:widowControl/>
      </w:pPr>
      <w:r>
        <w:t xml:space="preserve">[3] ReMP-AD  ICCV 2025  </w:t>
      </w:r>
      <w:hyperlink r:id="rId15">
        <w:r>
          <w:rPr>
            <w:color w:val="175D8D"/>
          </w:rPr>
          <w:t>论文</w:t>
        </w:r>
      </w:hyperlink>
      <w:r>
        <w:t xml:space="preserve">  </w:t>
      </w:r>
      <w:hyperlink r:id="rId16">
        <w:r>
          <w:rPr>
            <w:color w:val="175D8D"/>
          </w:rPr>
          <w:t>作者仓库</w:t>
        </w:r>
      </w:hyperlink>
    </w:p>
    <w:p>
      <w:pPr>
        <w:widowControl/>
      </w:pPr>
      <w:r>
        <w:t xml:space="preserve">[4] AdaptCLIP  AAAI 2026  </w:t>
      </w:r>
      <w:hyperlink r:id="rId17">
        <w:r>
          <w:rPr>
            <w:color w:val="175D8D"/>
          </w:rPr>
          <w:t>论文</w:t>
        </w:r>
      </w:hyperlink>
      <w:r>
        <w:t xml:space="preserve">  </w:t>
      </w:r>
      <w:hyperlink r:id="rId18">
        <w:r>
          <w:rPr>
            <w:color w:val="175D8D"/>
          </w:rPr>
          <w:t>作者仓库</w:t>
        </w:r>
      </w:hyperlink>
    </w:p>
    <w:p>
      <w:pPr>
        <w:widowControl/>
      </w:pPr>
      <w:r>
        <w:t xml:space="preserve">[5] FoundAD  ICLR 2026  </w:t>
      </w:r>
      <w:hyperlink r:id="rId19">
        <w:r>
          <w:rPr>
            <w:color w:val="175D8D"/>
          </w:rPr>
          <w:t>论文</w:t>
        </w:r>
      </w:hyperlink>
      <w:r>
        <w:t xml:space="preserve">  </w:t>
      </w:r>
      <w:hyperlink r:id="rId20">
        <w:r>
          <w:rPr>
            <w:color w:val="175D8D"/>
          </w:rPr>
          <w:t>作者仓库</w:t>
        </w:r>
      </w:hyperlink>
    </w:p>
    <w:p>
      <w:pPr>
        <w:widowControl/>
      </w:pPr>
      <w:r>
        <w:t xml:space="preserve">[6] FastRef  CVPR 2026  </w:t>
      </w:r>
      <w:hyperlink r:id="rId21">
        <w:r>
          <w:rPr>
            <w:color w:val="175D8D"/>
          </w:rPr>
          <w:t>论文</w:t>
        </w:r>
      </w:hyperlink>
      <w:r>
        <w:t xml:space="preserve">  </w:t>
      </w:r>
      <w:hyperlink r:id="rId22">
        <w:r>
          <w:rPr>
            <w:color w:val="175D8D"/>
          </w:rPr>
          <w:t>作者仓库</w:t>
        </w:r>
      </w:hyperlink>
    </w:p>
    <w:p>
      <w:pPr>
        <w:widowControl/>
      </w:pPr>
      <w:r>
        <w:t xml:space="preserve">[7] RadioCore  CVPR Workshops 2026  </w:t>
      </w:r>
      <w:hyperlink r:id="rId23">
        <w:r>
          <w:rPr>
            <w:color w:val="175D8D"/>
          </w:rPr>
          <w:t>论文</w:t>
        </w:r>
      </w:hyperlink>
      <w:r>
        <w:t xml:space="preserve">  </w:t>
      </w:r>
      <w:hyperlink r:id="rId24">
        <w:r>
          <w:rPr>
            <w:color w:val="175D8D"/>
          </w:rPr>
          <w:t>作者仓库</w:t>
        </w:r>
      </w:hyperlink>
    </w:p>
    <w:p>
      <w:pPr>
        <w:widowControl/>
      </w:pPr>
      <w:r>
        <w:t xml:space="preserve">[8] AA-CLIP  CVPR 2025  </w:t>
      </w:r>
      <w:hyperlink r:id="rId25">
        <w:r>
          <w:rPr>
            <w:color w:val="175D8D"/>
          </w:rPr>
          <w:t>论文</w:t>
        </w:r>
      </w:hyperlink>
      <w:r>
        <w:t xml:space="preserve">  </w:t>
      </w:r>
      <w:hyperlink r:id="rId26">
        <w:r>
          <w:rPr>
            <w:color w:val="175D8D"/>
          </w:rPr>
          <w:t>作者仓库</w:t>
        </w:r>
      </w:hyperlink>
    </w:p>
    <w:p>
      <w:pPr>
        <w:widowControl/>
      </w:pPr>
      <w:r>
        <w:t xml:space="preserve">[9] FAPrompt  ICCV 2025  </w:t>
      </w:r>
      <w:hyperlink r:id="rId27">
        <w:r>
          <w:rPr>
            <w:color w:val="175D8D"/>
          </w:rPr>
          <w:t>论文</w:t>
        </w:r>
      </w:hyperlink>
      <w:r>
        <w:t xml:space="preserve">  </w:t>
      </w:r>
      <w:hyperlink r:id="rId28">
        <w:r>
          <w:rPr>
            <w:color w:val="175D8D"/>
          </w:rPr>
          <w:t>作者仓库</w:t>
        </w:r>
      </w:hyperlink>
    </w:p>
    <w:p>
      <w:pPr>
        <w:widowControl/>
      </w:pPr>
      <w:r>
        <w:t xml:space="preserve">[10] Dinomaly  CVPR 2025  </w:t>
      </w:r>
      <w:hyperlink r:id="rId29">
        <w:r>
          <w:rPr>
            <w:color w:val="175D8D"/>
          </w:rPr>
          <w:t>论文</w:t>
        </w:r>
      </w:hyperlink>
      <w:r>
        <w:t xml:space="preserve">  </w:t>
      </w:r>
      <w:hyperlink r:id="rId30">
        <w:r>
          <w:rPr>
            <w:color w:val="175D8D"/>
          </w:rPr>
          <w:t>作者仓库</w:t>
        </w:r>
      </w:hyperlink>
    </w:p>
    <w:p>
      <w:pPr>
        <w:widowControl/>
      </w:pPr>
      <w:r>
        <w:t xml:space="preserve">[11] AnomalyDINO  WACV 2025  </w:t>
      </w:r>
      <w:hyperlink r:id="rId31">
        <w:r>
          <w:rPr>
            <w:color w:val="175D8D"/>
          </w:rPr>
          <w:t>论文</w:t>
        </w:r>
      </w:hyperlink>
    </w:p>
    <w:p>
      <w:pPr>
        <w:pStyle w:val="Heading2"/>
        <w:widowControl/>
      </w:pPr>
      <w:r>
        <w:t>本地依据</w:t>
      </w:r>
    </w:p>
    <w:p>
      <w:pPr>
        <w:widowControl/>
      </w:pPr>
      <w:r>
        <w:t xml:space="preserve">• </w:t>
      </w:r>
      <w:hyperlink r:id="rId32">
        <w:r>
          <w:rPr>
            <w:color w:val="175D8D"/>
          </w:rPr>
          <w:t>英文润色稿的实验协议和已有指标</w:t>
        </w:r>
      </w:hyperlink>
    </w:p>
    <w:p>
      <w:pPr>
        <w:widowControl/>
      </w:pPr>
      <w:r>
        <w:t xml:space="preserve">• </w:t>
      </w:r>
      <w:hyperlink r:id="rId33">
        <w:r>
          <w:rPr>
            <w:color w:val="175D8D"/>
          </w:rPr>
          <w:t>FastRef 型 A1 探针记录  不是官方 baseline</w:t>
        </w:r>
      </w:hyperlink>
    </w:p>
    <w:p>
      <w:pPr>
        <w:widowControl/>
      </w:pPr>
      <w:r>
        <w:t xml:space="preserve">• </w:t>
      </w:r>
      <w:hyperlink r:id="rId34">
        <w:r>
          <w:rPr>
            <w:color w:val="175D8D"/>
          </w:rPr>
          <w:t>AdaptCLIP 已完成 MVTec 运行入口</w:t>
        </w:r>
      </w:hyperlink>
    </w:p>
    <w:p>
      <w:pPr>
        <w:widowControl/>
      </w:pPr>
      <w:r>
        <w:t xml:space="preserve">• </w:t>
      </w:r>
      <w:hyperlink r:id="rId35">
        <w:r>
          <w:rPr>
            <w:color w:val="175D8D"/>
          </w:rPr>
          <w:t>ReMP AD 运行入口</w:t>
        </w:r>
      </w:hyperlink>
    </w:p>
    <w:p>
      <w:pPr>
        <w:widowControl/>
      </w:pPr>
      <w:r>
        <w:t xml:space="preserve">• </w:t>
      </w:r>
      <w:hyperlink r:id="rId36">
        <w:r>
          <w:rPr>
            <w:color w:val="175D8D"/>
          </w:rPr>
          <w:t>SubspaceAD 的 MPDD 开发审计</w:t>
        </w:r>
      </w:hyperlink>
    </w:p>
    <w:p>
      <w:pPr>
        <w:widowControl/>
      </w:pPr>
      <w:r>
        <w:t xml:space="preserve">• </w:t>
      </w:r>
      <w:hyperlink r:id="rId37">
        <w:r>
          <w:rPr>
            <w:color w:val="175D8D"/>
          </w:rPr>
          <w:t>旧总协议  其 224 配置不可直接代表当前论文</w:t>
        </w:r>
      </w:hyperlink>
    </w:p>
    <w:p>
      <w:pPr>
        <w:widowControl/>
      </w:pPr>
      <w:r>
        <w:t>复现启动前还需完成：官方模型文件可下载性、训练数据血缘、源码提交与依赖锁定。FastRef 仓库元信息请求成功但文件清单请求出现网络错误，本轮不将其标为代码已核验。AA-CLIP、FAPrompt 与 Dinomaly 本轮主要核对论文定位和作者代码入口，未进行安装验证。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DCFnet  对照实验调研与规划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0" w:lineRule="exact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ccess.thecvf.com/content/CVPR2026/html/Lendering_SubspaceAD_Training-Free_Few-Shot_Anomaly_Detection_via_Subspace_Modeling_CVPR_2026_paper.html" TargetMode="External"/><Relationship Id="rId12" Type="http://schemas.openxmlformats.org/officeDocument/2006/relationships/hyperlink" Target="https://github.com/CLendering/SubspaceAD" TargetMode="External"/><Relationship Id="rId13" Type="http://schemas.openxmlformats.org/officeDocument/2006/relationships/hyperlink" Target="https://openaccess.thecvf.com/content/CVPR2025/papers/Gu_UniVAD_A_Training-free_Unified_Model_for_Few-shot_Visual_Anomaly_Detection_CVPR_2025_paper.pdf" TargetMode="External"/><Relationship Id="rId14" Type="http://schemas.openxmlformats.org/officeDocument/2006/relationships/hyperlink" Target="https://github.com/FantasticGNU/UniVAD" TargetMode="External"/><Relationship Id="rId15" Type="http://schemas.openxmlformats.org/officeDocument/2006/relationships/hyperlink" Target="https://openaccess.thecvf.com/content/ICCV2025/html/Ma_ReMP-AD_Retrieval-enhanced_Multi-modal_Prompt_Fusion_for_Few-Shot_Industrial_Visual_Anomaly_ICCV_2025_paper.html" TargetMode="External"/><Relationship Id="rId16" Type="http://schemas.openxmlformats.org/officeDocument/2006/relationships/hyperlink" Target="https://github.com/cshcma/ReMP-AD" TargetMode="External"/><Relationship Id="rId17" Type="http://schemas.openxmlformats.org/officeDocument/2006/relationships/hyperlink" Target="https://ojs.aaai.org/index.php/AAAI/article/view/42404" TargetMode="External"/><Relationship Id="rId18" Type="http://schemas.openxmlformats.org/officeDocument/2006/relationships/hyperlink" Target="https://github.com/gaobb/AdaptCLIP" TargetMode="External"/><Relationship Id="rId19" Type="http://schemas.openxmlformats.org/officeDocument/2006/relationships/hyperlink" Target="https://proceedings.iclr.cc/paper_files/paper/2026/hash/9e47a0bc530cc88b09b7670d2c130a29-Abstract-Conference.html" TargetMode="External"/><Relationship Id="rId20" Type="http://schemas.openxmlformats.org/officeDocument/2006/relationships/hyperlink" Target="https://github.com/ymxlzgy/FoundAD" TargetMode="External"/><Relationship Id="rId21" Type="http://schemas.openxmlformats.org/officeDocument/2006/relationships/hyperlink" Target="https://openaccess.thecvf.com/content/CVPR2026/html/Li_FastRef_Fast_Prototype_Refinement_for_Few-shot_Industrial_Anomaly_Detection_CVPR_2026_paper.html" TargetMode="External"/><Relationship Id="rId22" Type="http://schemas.openxmlformats.org/officeDocument/2006/relationships/hyperlink" Target="https://github.com/liyufei25/FastRef" TargetMode="External"/><Relationship Id="rId23" Type="http://schemas.openxmlformats.org/officeDocument/2006/relationships/hyperlink" Target="https://openaccess.thecvf.com/content/CVPR2026W/VISION26/html/Ali_RadioCore_Few-Shot_Industrial_Anomaly_Segmentation_with_Multi-Scale_Radio_ViT_Features_CVPRW_2026_paper.html" TargetMode="External"/><Relationship Id="rId24" Type="http://schemas.openxmlformats.org/officeDocument/2006/relationships/hyperlink" Target="https://github.com/MohammedEltoum/RadioCore" TargetMode="External"/><Relationship Id="rId25" Type="http://schemas.openxmlformats.org/officeDocument/2006/relationships/hyperlink" Target="https://openaccess.thecvf.com/content/CVPR2025/html/Ma_AA-CLIP_Enhancing_Zero-Shot_Anomaly_Detection_via_Anomaly-Aware_CLIP_CVPR_2025_paper.html" TargetMode="External"/><Relationship Id="rId26" Type="http://schemas.openxmlformats.org/officeDocument/2006/relationships/hyperlink" Target="https://github.com/Mwxinnn/AA-CLIP" TargetMode="External"/><Relationship Id="rId27" Type="http://schemas.openxmlformats.org/officeDocument/2006/relationships/hyperlink" Target="https://openaccess.thecvf.com/content/ICCV2025/html/Zhu_Fine-grained_Abnormality_Prompt_Learning_for_Zero-shot_Anomaly_Detection_ICCV_2025_paper.html" TargetMode="External"/><Relationship Id="rId28" Type="http://schemas.openxmlformats.org/officeDocument/2006/relationships/hyperlink" Target="https://github.com/mala-lab/FAPrompt" TargetMode="External"/><Relationship Id="rId29" Type="http://schemas.openxmlformats.org/officeDocument/2006/relationships/hyperlink" Target="https://openaccess.thecvf.com/content/CVPR2025/html/Guo_Dinomaly_The_Less_Is_More_Philosophy_in_Multi-Class_Unsupervised_Anomaly_CVPR_2025_paper.html" TargetMode="External"/><Relationship Id="rId30" Type="http://schemas.openxmlformats.org/officeDocument/2006/relationships/hyperlink" Target="https://github.com/guojiajeremy/Dinomaly" TargetMode="External"/><Relationship Id="rId31" Type="http://schemas.openxmlformats.org/officeDocument/2006/relationships/hyperlink" Target="https://openaccess.thecvf.com/content/WACV2025/papers/Damm_AnomalyDINO_Boosting_Patch-Based_Few-Shot_Anomaly_Detection_with_DINOv2_WACV_2025_paper.pdf" TargetMode="External"/><Relationship Id="rId32" Type="http://schemas.openxmlformats.org/officeDocument/2006/relationships/hyperlink" Target="file:///D:/STUDY/My_github/sci_project/docs/manuscript_english_polished_20260906/English_content.md" TargetMode="External"/><Relationship Id="rId33" Type="http://schemas.openxmlformats.org/officeDocument/2006/relationships/hyperlink" Target="file:///D:/STUDY/My_github/sci_project/experiments/dynamic_fusion/innovation_breadth_20260908/fastref/FASTREF_RESEARCH_CN.md" TargetMode="External"/><Relationship Id="rId34" Type="http://schemas.openxmlformats.org/officeDocument/2006/relationships/hyperlink" Target="file:///D:/STUDY/My_github/sci_project/scripts/start_adaptclip_mvtec_gate_a.ps1" TargetMode="External"/><Relationship Id="rId35" Type="http://schemas.openxmlformats.org/officeDocument/2006/relationships/hyperlink" Target="file:///D:/STUDY/My_github/sci_project/scripts/start_remp_ad_mvtec.ps1" TargetMode="External"/><Relationship Id="rId36" Type="http://schemas.openxmlformats.org/officeDocument/2006/relationships/hyperlink" Target="file:///D:/STUDY/My_github/sci_project/experiments/dynamic_fusion/v4_vision_text_20260819/06_v2_g2_audit/g2_audit_report.json" TargetMode="External"/><Relationship Id="rId37" Type="http://schemas.openxmlformats.org/officeDocument/2006/relationships/hyperlink" Target="file:///D:/STUDY/My_github/sci_project/configs/protocol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DCFnet 近两年对照算法调研与实验规划</dc:title>
  <dc:subject>2025 2026 工业少样本异常检测对照实验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