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4" w:lineRule="auto" w:before="480"/>
        <w:jc w:val="center"/>
      </w:pPr>
      <w:r>
        <w:rPr>
          <w:rFonts w:ascii="Calibri" w:hAnsi="Calibri" w:eastAsia="Microsoft YaHei"/>
          <w:b/>
          <w:i w:val="0"/>
          <w:color w:val="0B2545"/>
          <w:sz w:val="50"/>
        </w:rPr>
        <w:t>少样本工业异常检测项目进度报告</w:t>
      </w:r>
    </w:p>
    <w:p>
      <w:pPr>
        <w:spacing w:after="360" w:line="264" w:lineRule="auto"/>
        <w:jc w:val="center"/>
      </w:pPr>
      <w:r>
        <w:rPr>
          <w:rFonts w:ascii="Calibri" w:hAnsi="Calibri" w:eastAsia="Microsoft YaHei"/>
          <w:b w:val="0"/>
          <w:i w:val="0"/>
          <w:color w:val="555555"/>
          <w:sz w:val="28"/>
        </w:rPr>
        <w:t>基准复现进展、当前训练状态与下一阶段计划</w:t>
      </w:r>
    </w:p>
    <w:tbl>
      <w:tblPr>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bottom w:w="80" w:type="dxa"/>
              <w:start w:w="120" w:type="dxa"/>
              <w:end w:w="120" w:type="dxa"/>
            </w:tcMar>
            <w:vAlign w:val="center"/>
          </w:tcPr>
          <w:p>
            <w:pPr>
              <w:spacing w:before="0" w:after="0" w:line="264" w:lineRule="auto"/>
            </w:pPr>
            <w:r>
              <w:rPr>
                <w:rFonts w:ascii="Calibri" w:hAnsi="Calibri" w:eastAsia="Microsoft YaHei"/>
                <w:b/>
                <w:i w:val="0"/>
                <w:color w:val="1F4D78"/>
                <w:sz w:val="22"/>
              </w:rPr>
              <w:t>报告结论：</w:t>
            </w:r>
            <w:r>
              <w:rPr>
                <w:rFonts w:ascii="Calibri" w:hAnsi="Calibri" w:eastAsia="Microsoft YaHei"/>
                <w:b w:val="0"/>
                <w:i w:val="0"/>
                <w:color w:val="000000"/>
                <w:sz w:val="22"/>
              </w:rPr>
              <w:t>第一阶段已完成数据、统一划分和统一评估基础设施；PatchCore、WinCLIP+、AnomalyDINO 已完成 VisA 完整矩阵。PromptAD 已完成 seed 0 的 1/2/4-shot，并正在继续 seed 1 的 1-shot。</w:t>
            </w:r>
          </w:p>
        </w:tc>
      </w:tr>
    </w:tbl>
    <w:p>
      <w:pPr>
        <w:spacing w:after="40"/>
      </w:pPr>
    </w:p>
    <w:tbl>
      <w:tblPr>
        <w:tblW w:type="dxa" w:w="9360"/>
        <w:jc w:val="left"/>
        <w:tblLayout w:type="fixed"/>
        <w:tblLook w:firstColumn="1" w:firstRow="1" w:lastColumn="0" w:lastRow="0" w:noHBand="0" w:noVBand="1" w:val="04A0"/>
        <w:tblInd w:w="120" w:type="dxa"/>
      </w:tblPr>
      <w:tblGrid>
        <w:gridCol w:w="2300"/>
        <w:gridCol w:w="7060"/>
      </w:tblGrid>
      <w:tr>
        <w:tc>
          <w:tcPr>
            <w:tcW w:type="dxa" w:w="230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项目项</w:t>
            </w:r>
          </w:p>
        </w:tc>
        <w:tc>
          <w:tcPr>
            <w:tcW w:type="dxa" w:w="706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当前状态</w:t>
            </w:r>
          </w:p>
        </w:tc>
      </w:tr>
      <w:tr>
        <w:tc>
          <w:tcPr>
            <w:tcW w:type="dxa" w:w="23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数据集</w:t>
            </w:r>
          </w:p>
        </w:tc>
        <w:tc>
          <w:tcPr>
            <w:tcW w:type="dxa" w:w="706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VisA（12 类）与 MVTec AD（15 类）均已验证</w:t>
            </w:r>
          </w:p>
        </w:tc>
      </w:tr>
      <w:tr>
        <w:tc>
          <w:tcPr>
            <w:tcW w:type="dxa" w:w="23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统一协议</w:t>
            </w:r>
          </w:p>
        </w:tc>
        <w:tc>
          <w:tcPr>
            <w:tcW w:type="dxa" w:w="706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1/2/4-shot，seed 0/1/2，嵌套固定 manifest</w:t>
            </w:r>
          </w:p>
        </w:tc>
      </w:tr>
      <w:tr>
        <w:tc>
          <w:tcPr>
            <w:tcW w:type="dxa" w:w="23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统一指标</w:t>
            </w:r>
          </w:p>
        </w:tc>
        <w:tc>
          <w:tcPr>
            <w:tcW w:type="dxa" w:w="706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图像 AUROC/AP/F1-max；像素 AUROC/AP/AUPRO</w:t>
            </w:r>
          </w:p>
        </w:tc>
      </w:tr>
      <w:tr>
        <w:tc>
          <w:tcPr>
            <w:tcW w:type="dxa" w:w="23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当前 GPU 任务</w:t>
            </w:r>
          </w:p>
        </w:tc>
        <w:tc>
          <w:tcPr>
            <w:tcW w:type="dxa" w:w="706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PromptAD · VisA · seed 1 · 1-shot · candle 分类训练</w:t>
            </w:r>
          </w:p>
        </w:tc>
      </w:tr>
      <w:tr>
        <w:tc>
          <w:tcPr>
            <w:tcW w:type="dxa" w:w="23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阶段二状态</w:t>
            </w:r>
          </w:p>
        </w:tc>
        <w:tc>
          <w:tcPr>
            <w:tcW w:type="dxa" w:w="706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仅开展动态融合设计准备，尚未进行正式融合实验</w:t>
            </w:r>
          </w:p>
        </w:tc>
      </w:tr>
    </w:tbl>
    <w:p>
      <w:pPr>
        <w:spacing w:after="40"/>
      </w:pPr>
    </w:p>
    <w:p>
      <w:pPr>
        <w:pStyle w:val="Heading1"/>
        <w:keepNext/>
        <w:spacing w:before="320" w:after="160"/>
      </w:pPr>
      <w:r>
        <w:rPr>
          <w:rFonts w:ascii="Calibri" w:hAnsi="Calibri" w:eastAsia="Microsoft YaHei"/>
          <w:b/>
          <w:i w:val="0"/>
          <w:color w:val="2E74B5"/>
          <w:sz w:val="32"/>
        </w:rPr>
        <w:t>一、已完成的项目基础</w:t>
      </w:r>
    </w:p>
    <w:p>
      <w:pPr>
        <w:spacing w:after="120" w:line="264" w:lineRule="auto"/>
      </w:pPr>
      <w:r>
        <w:rPr>
          <w:rFonts w:ascii="Calibri" w:hAnsi="Calibri" w:eastAsia="Microsoft YaHei"/>
          <w:b w:val="0"/>
          <w:i w:val="0"/>
          <w:color w:val="000000"/>
          <w:sz w:val="22"/>
        </w:rPr>
        <w:t>项目已形成可追溯的实验框架：官方数据来源、环境、第三方代码提交、固定少样本划分、统一预测 NPZ 格式和方法无关的评估器均已建立。每次运行保留日志、完成标记、预测缓存和逐类结果。</w:t>
      </w:r>
    </w:p>
    <w:p>
      <w:pPr>
        <w:pStyle w:val="ListBullet"/>
        <w:spacing w:after="80" w:line="280" w:lineRule="auto"/>
        <w:ind w:left="720" w:hanging="360"/>
      </w:pPr>
      <w:r>
        <w:rPr>
          <w:rFonts w:ascii="Calibri" w:hAnsi="Calibri" w:eastAsia="Microsoft YaHei"/>
          <w:b w:val="0"/>
          <w:i w:val="0"/>
          <w:color w:val="000000"/>
          <w:sz w:val="22"/>
        </w:rPr>
        <w:t>VisA 与 MVTec AD 已完成目录、样本和异常掩码校验；MVTec 的 15 类数据及 315 条 manifest 引用均通过检查。</w:t>
      </w:r>
    </w:p>
    <w:p>
      <w:pPr>
        <w:pStyle w:val="ListBullet"/>
        <w:spacing w:after="80" w:line="280" w:lineRule="auto"/>
        <w:ind w:left="720" w:hanging="360"/>
      </w:pPr>
      <w:r>
        <w:rPr>
          <w:rFonts w:ascii="Calibri" w:hAnsi="Calibri" w:eastAsia="Microsoft YaHei"/>
          <w:b w:val="0"/>
          <w:i w:val="0"/>
          <w:color w:val="000000"/>
          <w:sz w:val="22"/>
        </w:rPr>
        <w:t>统一评估层已通过 5 项单元测试，能够严格检查标签、像素图形状和分数方向。</w:t>
      </w:r>
    </w:p>
    <w:p>
      <w:pPr>
        <w:pStyle w:val="ListBullet"/>
        <w:spacing w:after="80" w:line="280" w:lineRule="auto"/>
        <w:ind w:left="720" w:hanging="360"/>
      </w:pPr>
      <w:r>
        <w:rPr>
          <w:rFonts w:ascii="Calibri" w:hAnsi="Calibri" w:eastAsia="Microsoft YaHei"/>
          <w:b w:val="0"/>
          <w:i w:val="0"/>
          <w:color w:val="000000"/>
          <w:sz w:val="22"/>
        </w:rPr>
        <w:t>所有方法使用相同的 1/2/4-shot 嵌套样本清单；因此结果差异可主要归因于方法，而不是随机抽样。</w:t>
      </w:r>
    </w:p>
    <w:p>
      <w:pPr>
        <w:pStyle w:val="ListBullet"/>
        <w:spacing w:after="80" w:line="280" w:lineRule="auto"/>
        <w:ind w:left="720" w:hanging="360"/>
      </w:pPr>
      <w:r>
        <w:rPr>
          <w:rFonts w:ascii="Calibri" w:hAnsi="Calibri" w:eastAsia="Microsoft YaHei"/>
          <w:b w:val="0"/>
          <w:i w:val="0"/>
          <w:color w:val="000000"/>
          <w:sz w:val="22"/>
        </w:rPr>
        <w:t>长任务采用完成标记与预测缓存，训练中断后可从未完成类别恢复，不覆盖已有成功结果。</w:t>
      </w:r>
    </w:p>
    <w:p>
      <w:pPr>
        <w:pStyle w:val="Heading1"/>
        <w:keepNext/>
        <w:spacing w:before="320" w:after="160"/>
      </w:pPr>
      <w:r>
        <w:rPr>
          <w:rFonts w:ascii="Calibri" w:hAnsi="Calibri" w:eastAsia="Microsoft YaHei"/>
          <w:b/>
          <w:i w:val="0"/>
          <w:color w:val="2E74B5"/>
          <w:sz w:val="32"/>
        </w:rPr>
        <w:t>二、已完成的核心基准结果</w:t>
      </w:r>
    </w:p>
    <w:tbl>
      <w:tblPr>
        <w:tblW w:type="dxa" w:w="9360"/>
        <w:jc w:val="left"/>
        <w:tblLayout w:type="fixed"/>
        <w:tblLook w:firstColumn="1" w:firstRow="1" w:lastColumn="0" w:lastRow="0" w:noHBand="0" w:noVBand="1" w:val="04A0"/>
        <w:tblInd w:w="120" w:type="dxa"/>
      </w:tblPr>
      <w:tblGrid>
        <w:gridCol w:w="1700"/>
        <w:gridCol w:w="2700"/>
        <w:gridCol w:w="2850"/>
        <w:gridCol w:w="2110"/>
      </w:tblGrid>
      <w:tr>
        <w:tc>
          <w:tcPr>
            <w:tcW w:type="dxa" w:w="170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方法</w:t>
            </w:r>
          </w:p>
        </w:tc>
        <w:tc>
          <w:tcPr>
            <w:tcW w:type="dxa" w:w="270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VisA 完成范围</w:t>
            </w:r>
          </w:p>
        </w:tc>
        <w:tc>
          <w:tcPr>
            <w:tcW w:type="dxa" w:w="285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代表性结论</w:t>
            </w:r>
          </w:p>
        </w:tc>
        <w:tc>
          <w:tcPr>
            <w:tcW w:type="dxa" w:w="211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MVTec 当前状态</w:t>
            </w:r>
          </w:p>
        </w:tc>
      </w:tr>
      <w:tr>
        <w:tc>
          <w:tcPr>
            <w:tcW w:type="dxa" w:w="17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AnomalyCLIP</w:t>
            </w:r>
          </w:p>
        </w:tc>
        <w:tc>
          <w:tcPr>
            <w:tcW w:type="dxa" w:w="27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全类官方协议推理</w:t>
            </w:r>
          </w:p>
        </w:tc>
        <w:tc>
          <w:tcPr>
            <w:tcW w:type="dxa" w:w="28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VisA 图像 AUROC 81.97%，AUPRO 83.60%</w:t>
            </w:r>
          </w:p>
        </w:tc>
        <w:tc>
          <w:tcPr>
            <w:tcW w:type="dxa" w:w="211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15 类官方零样本推理完成</w:t>
            </w:r>
          </w:p>
        </w:tc>
      </w:tr>
      <w:tr>
        <w:tc>
          <w:tcPr>
            <w:tcW w:type="dxa" w:w="17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PatchCore</w:t>
            </w:r>
          </w:p>
        </w:tc>
        <w:tc>
          <w:tcPr>
            <w:tcW w:type="dxa" w:w="27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1/2/4-shot × 3 seeds</w:t>
            </w:r>
          </w:p>
        </w:tc>
        <w:tc>
          <w:tcPr>
            <w:tcW w:type="dxa" w:w="28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4-shot：图像 AUROC 78.68%，AUPRO 62.21%</w:t>
            </w:r>
          </w:p>
        </w:tc>
        <w:tc>
          <w:tcPr>
            <w:tcW w:type="dxa" w:w="211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bottle 1-shot Gate A 完成</w:t>
            </w:r>
          </w:p>
        </w:tc>
      </w:tr>
      <w:tr>
        <w:tc>
          <w:tcPr>
            <w:tcW w:type="dxa" w:w="17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WinCLIP+</w:t>
            </w:r>
          </w:p>
        </w:tc>
        <w:tc>
          <w:tcPr>
            <w:tcW w:type="dxa" w:w="27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1/2/4-shot × 3 seeds</w:t>
            </w:r>
          </w:p>
        </w:tc>
        <w:tc>
          <w:tcPr>
            <w:tcW w:type="dxa" w:w="28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4-shot：图像 AUROC 72.58%，AUPRO 69.05%</w:t>
            </w:r>
          </w:p>
        </w:tc>
        <w:tc>
          <w:tcPr>
            <w:tcW w:type="dxa" w:w="211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15 类 1-shot Gate B 完成</w:t>
            </w:r>
          </w:p>
        </w:tc>
      </w:tr>
      <w:tr>
        <w:tc>
          <w:tcPr>
            <w:tcW w:type="dxa" w:w="17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AnomalyDINO</w:t>
            </w:r>
          </w:p>
        </w:tc>
        <w:tc>
          <w:tcPr>
            <w:tcW w:type="dxa" w:w="27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1/2/4-shot × 3 seeds</w:t>
            </w:r>
          </w:p>
        </w:tc>
        <w:tc>
          <w:tcPr>
            <w:tcW w:type="dxa" w:w="28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4-shot：图像 AUROC 92.58%，AUPRO 93.69%</w:t>
            </w:r>
          </w:p>
        </w:tc>
        <w:tc>
          <w:tcPr>
            <w:tcW w:type="dxa" w:w="211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bottle 1-shot Gate A 完成</w:t>
            </w:r>
          </w:p>
        </w:tc>
      </w:tr>
    </w:tbl>
    <w:p>
      <w:pPr>
        <w:spacing w:after="40"/>
      </w:pPr>
    </w:p>
    <w:p>
      <w:pPr>
        <w:spacing w:after="160" w:line="264" w:lineRule="auto"/>
      </w:pPr>
      <w:r>
        <w:rPr>
          <w:rFonts w:ascii="Calibri" w:hAnsi="Calibri" w:eastAsia="Microsoft YaHei"/>
          <w:b w:val="0"/>
          <w:i w:val="0"/>
          <w:color w:val="555555"/>
          <w:sz w:val="19"/>
        </w:rPr>
        <w:t>说明：PatchCore、WinCLIP+ 和 AnomalyDINO 的 VisA 表格均为 3 个 seed 的 macro mean；PromptAD 单列报告，因为它会利用目标域正常样本学习 prompt。</w:t>
      </w:r>
    </w:p>
    <w:p>
      <w:pPr>
        <w:pStyle w:val="Heading1"/>
        <w:keepNext/>
        <w:spacing w:before="320" w:after="160"/>
      </w:pPr>
      <w:r>
        <w:rPr>
          <w:rFonts w:ascii="Calibri" w:hAnsi="Calibri" w:eastAsia="Microsoft YaHei"/>
          <w:b/>
          <w:i w:val="0"/>
          <w:color w:val="2E74B5"/>
          <w:sz w:val="32"/>
        </w:rPr>
        <w:t>三、PromptAD 当前成果</w:t>
      </w:r>
    </w:p>
    <w:p>
      <w:pPr>
        <w:spacing w:after="120" w:line="264" w:lineRule="auto"/>
      </w:pPr>
      <w:r>
        <w:rPr>
          <w:rFonts w:ascii="Calibri" w:hAnsi="Calibri" w:eastAsia="Microsoft YaHei"/>
          <w:b w:val="0"/>
          <w:i w:val="0"/>
          <w:color w:val="000000"/>
          <w:sz w:val="22"/>
        </w:rPr>
        <w:t>PromptAD 的分类和分割分支均从固定的目标域正常样本学习 prompt，因此在所有结果中明确标注 target_normal_tuning=true。每个配置均先分别训练分类与分割分支，再导出、合并为统一预测并重新评估。</w:t>
      </w:r>
    </w:p>
    <w:tbl>
      <w:tblPr>
        <w:tblW w:type="dxa" w:w="8360"/>
        <w:jc w:val="left"/>
        <w:tblLayout w:type="fixed"/>
        <w:tblLook w:firstColumn="1" w:firstRow="1" w:lastColumn="0" w:lastRow="0" w:noHBand="0" w:noVBand="1" w:val="04A0"/>
        <w:tblInd w:w="120" w:type="dxa"/>
      </w:tblPr>
      <w:tblGrid>
        <w:gridCol w:w="1650"/>
        <w:gridCol w:w="900"/>
        <w:gridCol w:w="1250"/>
        <w:gridCol w:w="1250"/>
        <w:gridCol w:w="1050"/>
        <w:gridCol w:w="1050"/>
        <w:gridCol w:w="1210"/>
      </w:tblGrid>
      <w:tr>
        <w:tc>
          <w:tcPr>
            <w:tcW w:type="dxa" w:w="165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VisA 配置</w:t>
            </w:r>
          </w:p>
        </w:tc>
        <w:tc>
          <w:tcPr>
            <w:tcW w:type="dxa" w:w="90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样本数</w:t>
            </w:r>
          </w:p>
        </w:tc>
        <w:tc>
          <w:tcPr>
            <w:tcW w:type="dxa" w:w="125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图像 AUROC</w:t>
            </w:r>
          </w:p>
        </w:tc>
        <w:tc>
          <w:tcPr>
            <w:tcW w:type="dxa" w:w="125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像素 AUROC</w:t>
            </w:r>
          </w:p>
        </w:tc>
        <w:tc>
          <w:tcPr>
            <w:tcW w:type="dxa" w:w="105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像素 AP</w:t>
            </w:r>
          </w:p>
        </w:tc>
        <w:tc>
          <w:tcPr>
            <w:tcW w:type="dxa" w:w="105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AUPRO</w:t>
            </w:r>
          </w:p>
        </w:tc>
        <w:tc>
          <w:tcPr>
            <w:tcW w:type="dxa" w:w="121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状态</w:t>
            </w:r>
          </w:p>
        </w:tc>
      </w:tr>
      <w:tr>
        <w:tc>
          <w:tcPr>
            <w:tcW w:type="dxa" w:w="16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1-shot, seed 0</w:t>
            </w:r>
          </w:p>
        </w:tc>
        <w:tc>
          <w:tcPr>
            <w:tcW w:type="dxa" w:w="9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2,162</w:t>
            </w:r>
          </w:p>
        </w:tc>
        <w:tc>
          <w:tcPr>
            <w:tcW w:type="dxa" w:w="12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80.25%</w:t>
            </w:r>
          </w:p>
        </w:tc>
        <w:tc>
          <w:tcPr>
            <w:tcW w:type="dxa" w:w="12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96.20%</w:t>
            </w:r>
          </w:p>
        </w:tc>
        <w:tc>
          <w:tcPr>
            <w:tcW w:type="dxa" w:w="10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28.54%</w:t>
            </w:r>
          </w:p>
        </w:tc>
        <w:tc>
          <w:tcPr>
            <w:tcW w:type="dxa" w:w="10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81.73%</w:t>
            </w:r>
          </w:p>
        </w:tc>
        <w:tc>
          <w:tcPr>
            <w:tcW w:type="dxa" w:w="121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完成</w:t>
            </w:r>
          </w:p>
        </w:tc>
      </w:tr>
      <w:tr>
        <w:tc>
          <w:tcPr>
            <w:tcW w:type="dxa" w:w="16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2-shot, seed 0</w:t>
            </w:r>
          </w:p>
        </w:tc>
        <w:tc>
          <w:tcPr>
            <w:tcW w:type="dxa" w:w="9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2,162</w:t>
            </w:r>
          </w:p>
        </w:tc>
        <w:tc>
          <w:tcPr>
            <w:tcW w:type="dxa" w:w="12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81.15%</w:t>
            </w:r>
          </w:p>
        </w:tc>
        <w:tc>
          <w:tcPr>
            <w:tcW w:type="dxa" w:w="12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96.79%</w:t>
            </w:r>
          </w:p>
        </w:tc>
        <w:tc>
          <w:tcPr>
            <w:tcW w:type="dxa" w:w="10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29.63%</w:t>
            </w:r>
          </w:p>
        </w:tc>
        <w:tc>
          <w:tcPr>
            <w:tcW w:type="dxa" w:w="10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82.25%</w:t>
            </w:r>
          </w:p>
        </w:tc>
        <w:tc>
          <w:tcPr>
            <w:tcW w:type="dxa" w:w="121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完成</w:t>
            </w:r>
          </w:p>
        </w:tc>
      </w:tr>
      <w:tr>
        <w:tc>
          <w:tcPr>
            <w:tcW w:type="dxa" w:w="16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4-shot, seed 0</w:t>
            </w:r>
          </w:p>
        </w:tc>
        <w:tc>
          <w:tcPr>
            <w:tcW w:type="dxa" w:w="9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2,162</w:t>
            </w:r>
          </w:p>
        </w:tc>
        <w:tc>
          <w:tcPr>
            <w:tcW w:type="dxa" w:w="12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80.46%</w:t>
            </w:r>
          </w:p>
        </w:tc>
        <w:tc>
          <w:tcPr>
            <w:tcW w:type="dxa" w:w="12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97.01%</w:t>
            </w:r>
          </w:p>
        </w:tc>
        <w:tc>
          <w:tcPr>
            <w:tcW w:type="dxa" w:w="10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31.87%</w:t>
            </w:r>
          </w:p>
        </w:tc>
        <w:tc>
          <w:tcPr>
            <w:tcW w:type="dxa" w:w="10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83.71%</w:t>
            </w:r>
          </w:p>
        </w:tc>
        <w:tc>
          <w:tcPr>
            <w:tcW w:type="dxa" w:w="121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完成</w:t>
            </w:r>
          </w:p>
        </w:tc>
      </w:tr>
      <w:tr>
        <w:tc>
          <w:tcPr>
            <w:tcW w:type="dxa" w:w="16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1-shot, seed 1</w:t>
            </w:r>
          </w:p>
        </w:tc>
        <w:tc>
          <w:tcPr>
            <w:tcW w:type="dxa" w:w="9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2,162</w:t>
            </w:r>
          </w:p>
        </w:tc>
        <w:tc>
          <w:tcPr>
            <w:tcW w:type="dxa" w:w="12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w:t>
            </w:r>
          </w:p>
        </w:tc>
        <w:tc>
          <w:tcPr>
            <w:tcW w:type="dxa" w:w="12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w:t>
            </w:r>
          </w:p>
        </w:tc>
        <w:tc>
          <w:tcPr>
            <w:tcW w:type="dxa" w:w="10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w:t>
            </w:r>
          </w:p>
        </w:tc>
        <w:tc>
          <w:tcPr>
            <w:tcW w:type="dxa" w:w="105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w:t>
            </w:r>
          </w:p>
        </w:tc>
        <w:tc>
          <w:tcPr>
            <w:tcW w:type="dxa" w:w="121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运行中</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vAlign w:val="center"/>
          </w:tcPr>
          <w:p>
            <w:pPr>
              <w:spacing w:before="0" w:after="0" w:line="264" w:lineRule="auto"/>
            </w:pPr>
            <w:r>
              <w:rPr>
                <w:rFonts w:ascii="Calibri" w:hAnsi="Calibri" w:eastAsia="Microsoft YaHei"/>
                <w:b/>
                <w:i w:val="0"/>
                <w:color w:val="1F4D78"/>
                <w:sz w:val="22"/>
              </w:rPr>
              <w:t>完整性检查：</w:t>
            </w:r>
            <w:r>
              <w:rPr>
                <w:rFonts w:ascii="Calibri" w:hAnsi="Calibri" w:eastAsia="Microsoft YaHei"/>
                <w:b w:val="0"/>
                <w:i w:val="0"/>
                <w:color w:val="000000"/>
                <w:sz w:val="22"/>
              </w:rPr>
              <w:t>seed 0 的三个 shot 均生成 24 个训练完成标记、12 个合并预测 NPZ 文件和统一评估报告；每个报告的 validation_errors 均为 0。</w:t>
            </w:r>
          </w:p>
        </w:tc>
      </w:tr>
    </w:tbl>
    <w:p>
      <w:pPr>
        <w:spacing w:after="40"/>
      </w:pPr>
    </w:p>
    <w:p>
      <w:pPr>
        <w:pStyle w:val="Heading1"/>
        <w:keepNext/>
        <w:spacing w:before="320" w:after="160"/>
      </w:pPr>
      <w:r>
        <w:rPr>
          <w:rFonts w:ascii="Calibri" w:hAnsi="Calibri" w:eastAsia="Microsoft YaHei"/>
          <w:b/>
          <w:i w:val="0"/>
          <w:color w:val="2E74B5"/>
          <w:sz w:val="32"/>
        </w:rPr>
        <w:t>四、当前工作与后续顺序</w:t>
      </w:r>
    </w:p>
    <w:tbl>
      <w:tblPr>
        <w:tblW w:type="dxa" w:w="9360"/>
        <w:jc w:val="left"/>
        <w:tblLayout w:type="fixed"/>
        <w:tblLook w:firstColumn="1" w:firstRow="1" w:lastColumn="0" w:lastRow="0" w:noHBand="0" w:noVBand="1" w:val="04A0"/>
        <w:tblInd w:w="120" w:type="dxa"/>
      </w:tblPr>
      <w:tblGrid>
        <w:gridCol w:w="800"/>
        <w:gridCol w:w="4200"/>
        <w:gridCol w:w="4360"/>
      </w:tblGrid>
      <w:tr>
        <w:tc>
          <w:tcPr>
            <w:tcW w:type="dxa" w:w="80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优先级</w:t>
            </w:r>
          </w:p>
        </w:tc>
        <w:tc>
          <w:tcPr>
            <w:tcW w:type="dxa" w:w="420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工作项</w:t>
            </w:r>
          </w:p>
        </w:tc>
        <w:tc>
          <w:tcPr>
            <w:tcW w:type="dxa" w:w="4360"/>
            <w:tcMar>
              <w:top w:w="80" w:type="dxa"/>
              <w:bottom w:w="80" w:type="dxa"/>
              <w:start w:w="120" w:type="dxa"/>
              <w:end w:w="120" w:type="dxa"/>
            </w:tcMar>
            <w:vAlign w:val="center"/>
            <w:shd w:fill="E8EEF5"/>
          </w:tcPr>
          <w:p>
            <w:pPr>
              <w:spacing w:before="0" w:after="60" w:line="252" w:lineRule="auto"/>
            </w:pPr>
            <w:r>
              <w:rPr>
                <w:rFonts w:ascii="Calibri" w:hAnsi="Calibri" w:eastAsia="Microsoft YaHei"/>
                <w:b/>
                <w:i w:val="0"/>
                <w:color w:val="000000"/>
                <w:sz w:val="18"/>
              </w:rPr>
              <w:t>完成条件</w:t>
            </w:r>
          </w:p>
        </w:tc>
      </w:tr>
      <w:tr>
        <w:tc>
          <w:tcPr>
            <w:tcW w:type="dxa" w:w="8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P0</w:t>
            </w:r>
          </w:p>
        </w:tc>
        <w:tc>
          <w:tcPr>
            <w:tcW w:type="dxa" w:w="42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完成 PromptAD VisA 的 seed 1/2、1/2/4-shot</w:t>
            </w:r>
          </w:p>
        </w:tc>
        <w:tc>
          <w:tcPr>
            <w:tcW w:type="dxa" w:w="436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9 个配置齐全，报告 mean ± std，所有配置零 schema 错误</w:t>
            </w:r>
          </w:p>
        </w:tc>
      </w:tr>
      <w:tr>
        <w:tc>
          <w:tcPr>
            <w:tcW w:type="dxa" w:w="8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P1</w:t>
            </w:r>
          </w:p>
        </w:tc>
        <w:tc>
          <w:tcPr>
            <w:tcW w:type="dxa" w:w="42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PromptAD MVTec Gate A</w:t>
            </w:r>
          </w:p>
        </w:tc>
        <w:tc>
          <w:tcPr>
            <w:tcW w:type="dxa" w:w="436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bottle、1-shot、seed 0 完成训练、预测导出和统一评估</w:t>
            </w:r>
          </w:p>
        </w:tc>
      </w:tr>
      <w:tr>
        <w:tc>
          <w:tcPr>
            <w:tcW w:type="dxa" w:w="8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P2</w:t>
            </w:r>
          </w:p>
        </w:tc>
        <w:tc>
          <w:tcPr>
            <w:tcW w:type="dxa" w:w="42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扩展 MVTec 基线矩阵</w:t>
            </w:r>
          </w:p>
        </w:tc>
        <w:tc>
          <w:tcPr>
            <w:tcW w:type="dxa" w:w="436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PatchCore/AnomalyDINO 通过 Gate B 后扩展至完整 shot × seed</w:t>
            </w:r>
          </w:p>
        </w:tc>
      </w:tr>
      <w:tr>
        <w:tc>
          <w:tcPr>
            <w:tcW w:type="dxa" w:w="8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P3</w:t>
            </w:r>
          </w:p>
        </w:tc>
        <w:tc>
          <w:tcPr>
            <w:tcW w:type="dxa" w:w="42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ReMP-AD 与 AdaptCLIP Gate A</w:t>
            </w:r>
          </w:p>
        </w:tc>
        <w:tc>
          <w:tcPr>
            <w:tcW w:type="dxa" w:w="436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权重、依赖、数据入口和单类可复现实验均通过</w:t>
            </w:r>
          </w:p>
        </w:tc>
      </w:tr>
      <w:tr>
        <w:tc>
          <w:tcPr>
            <w:tcW w:type="dxa" w:w="8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P4</w:t>
            </w:r>
          </w:p>
        </w:tc>
        <w:tc>
          <w:tcPr>
            <w:tcW w:type="dxa" w:w="420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汇总对比与论文材料</w:t>
            </w:r>
          </w:p>
        </w:tc>
        <w:tc>
          <w:tcPr>
            <w:tcW w:type="dxa" w:w="4360"/>
            <w:tcMar>
              <w:top w:w="80" w:type="dxa"/>
              <w:bottom w:w="80" w:type="dxa"/>
              <w:start w:w="120" w:type="dxa"/>
              <w:end w:w="120" w:type="dxa"/>
            </w:tcMar>
            <w:vAlign w:val="center"/>
          </w:tcPr>
          <w:p>
            <w:pPr>
              <w:spacing w:before="0" w:after="60" w:line="252" w:lineRule="auto"/>
            </w:pPr>
            <w:r>
              <w:rPr>
                <w:rFonts w:ascii="Calibri" w:hAnsi="Calibri" w:eastAsia="Microsoft YaHei"/>
                <w:b w:val="0"/>
                <w:i w:val="0"/>
                <w:color w:val="000000"/>
                <w:sz w:val="18"/>
              </w:rPr>
              <w:t>逐类表、mean ± std 主表、效率表、失败案例与差异报告齐全</w:t>
            </w:r>
          </w:p>
        </w:tc>
      </w:tr>
    </w:tbl>
    <w:p>
      <w:pPr>
        <w:spacing w:after="40"/>
      </w:pPr>
    </w:p>
    <w:p>
      <w:pPr>
        <w:spacing w:after="120" w:line="264" w:lineRule="auto"/>
      </w:pPr>
      <w:r>
        <w:rPr>
          <w:rFonts w:ascii="Calibri" w:hAnsi="Calibri" w:eastAsia="Microsoft YaHei"/>
          <w:b w:val="0"/>
          <w:i w:val="0"/>
          <w:color w:val="000000"/>
          <w:sz w:val="22"/>
        </w:rPr>
        <w:t>实验执行遵循 Gate A（单类 1-shot seed 0）→ Gate B（全类 1-shot seed 0）→ Gate C（完整 1/2/4-shot × 3 seeds）。未通过上一关的运行不进入下一关。</w:t>
      </w:r>
    </w:p>
    <w:p>
      <w:pPr>
        <w:pStyle w:val="Heading1"/>
        <w:keepNext/>
        <w:spacing w:before="320" w:after="160"/>
      </w:pPr>
      <w:r>
        <w:rPr>
          <w:rFonts w:ascii="Calibri" w:hAnsi="Calibri" w:eastAsia="Microsoft YaHei"/>
          <w:b/>
          <w:i w:val="0"/>
          <w:color w:val="2E74B5"/>
          <w:sz w:val="32"/>
        </w:rPr>
        <w:t>五、第二阶段：动态融合的可行推进方式</w:t>
      </w:r>
    </w:p>
    <w:tbl>
      <w:tblPr>
        <w:tblW w:type="dxa" w:w="9360"/>
        <w:jc w:val="left"/>
        <w:tblLayout w:type="fixed"/>
        <w:tblLook w:firstColumn="1" w:firstRow="1" w:lastColumn="0" w:lastRow="0" w:noHBand="0" w:noVBand="1" w:val="04A0"/>
        <w:tblInd w:w="120" w:type="dxa"/>
      </w:tblPr>
      <w:tblGrid>
        <w:gridCol w:w="9360"/>
      </w:tblGrid>
      <w:tr>
        <w:tc>
          <w:tcPr>
            <w:tcW w:type="dxa" w:w="9360"/>
            <w:shd w:fill="FFF8E8"/>
            <w:tcMar>
              <w:top w:w="80" w:type="dxa"/>
              <w:bottom w:w="80" w:type="dxa"/>
              <w:start w:w="120" w:type="dxa"/>
              <w:end w:w="120" w:type="dxa"/>
            </w:tcMar>
            <w:vAlign w:val="center"/>
          </w:tcPr>
          <w:p>
            <w:pPr>
              <w:spacing w:before="0" w:after="0" w:line="264" w:lineRule="auto"/>
            </w:pPr>
            <w:r>
              <w:rPr>
                <w:rFonts w:ascii="Calibri" w:hAnsi="Calibri" w:eastAsia="Microsoft YaHei"/>
                <w:b/>
                <w:i w:val="0"/>
                <w:color w:val="1F4D78"/>
                <w:sz w:val="22"/>
              </w:rPr>
              <w:t>建议：</w:t>
            </w:r>
            <w:r>
              <w:rPr>
                <w:rFonts w:ascii="Calibri" w:hAnsi="Calibri" w:eastAsia="Microsoft YaHei"/>
                <w:b w:val="0"/>
                <w:i w:val="0"/>
                <w:color w:val="000000"/>
                <w:sz w:val="22"/>
              </w:rPr>
              <w:t>可以现在开展算法设计、接口定义、配置和单元测试，但不应在基线尚未完整时报告最终融合性能或反复调参。</w:t>
            </w:r>
          </w:p>
        </w:tc>
      </w:tr>
    </w:tbl>
    <w:p>
      <w:pPr>
        <w:spacing w:after="40"/>
      </w:pPr>
    </w:p>
    <w:p>
      <w:pPr>
        <w:spacing w:after="120" w:line="264" w:lineRule="auto"/>
      </w:pPr>
      <w:r>
        <w:rPr>
          <w:rFonts w:ascii="Calibri" w:hAnsi="Calibri" w:eastAsia="Microsoft YaHei"/>
          <w:b w:val="0"/>
          <w:i w:val="0"/>
          <w:color w:val="000000"/>
          <w:sz w:val="22"/>
        </w:rPr>
        <w:t>建议把后续工作分为两条轨道：基线轨继续完成耗时实验；设计轨利用已冻结的预测缓存开展不占 GPU 的准备工作。</w:t>
      </w:r>
    </w:p>
    <w:p>
      <w:pPr>
        <w:pStyle w:val="ListBullet"/>
        <w:spacing w:after="80" w:line="280" w:lineRule="auto"/>
        <w:ind w:left="720" w:hanging="360"/>
      </w:pPr>
      <w:r>
        <w:rPr>
          <w:rFonts w:ascii="Calibri" w:hAnsi="Calibri" w:eastAsia="Microsoft YaHei"/>
          <w:b w:val="0"/>
          <w:i w:val="0"/>
          <w:color w:val="000000"/>
          <w:sz w:val="22"/>
        </w:rPr>
        <w:t>定义融合输入：视觉分支分数/像素图、文本分支分数/像素图、不确定性和跨分支一致性特征。</w:t>
      </w:r>
    </w:p>
    <w:p>
      <w:pPr>
        <w:pStyle w:val="ListBullet"/>
        <w:spacing w:after="80" w:line="280" w:lineRule="auto"/>
        <w:ind w:left="720" w:hanging="360"/>
      </w:pPr>
      <w:r>
        <w:rPr>
          <w:rFonts w:ascii="Calibri" w:hAnsi="Calibri" w:eastAsia="Microsoft YaHei"/>
          <w:b w:val="0"/>
          <w:i w:val="0"/>
          <w:color w:val="000000"/>
          <w:sz w:val="22"/>
        </w:rPr>
        <w:t>定义路由输出：视觉主导、文本主导、固定加权或像素级动态权重；明确不能使用测试真值或测试集整体统计量。</w:t>
      </w:r>
    </w:p>
    <w:p>
      <w:pPr>
        <w:pStyle w:val="ListBullet"/>
        <w:spacing w:after="80" w:line="280" w:lineRule="auto"/>
        <w:ind w:left="720" w:hanging="360"/>
      </w:pPr>
      <w:r>
        <w:rPr>
          <w:rFonts w:ascii="Calibri" w:hAnsi="Calibri" w:eastAsia="Microsoft YaHei"/>
          <w:b w:val="0"/>
          <w:i w:val="0"/>
          <w:color w:val="000000"/>
          <w:sz w:val="22"/>
        </w:rPr>
        <w:t>先在合成数据和已冻结的 VisA seed 0 预测上测试接口、数值稳定性和消融代码；不以此作为最终成绩。</w:t>
      </w:r>
    </w:p>
    <w:p>
      <w:pPr>
        <w:pStyle w:val="ListBullet"/>
        <w:spacing w:after="80" w:line="280" w:lineRule="auto"/>
        <w:ind w:left="720" w:hanging="360"/>
      </w:pPr>
      <w:r>
        <w:rPr>
          <w:rFonts w:ascii="Calibri" w:hAnsi="Calibri" w:eastAsia="Microsoft YaHei"/>
          <w:b w:val="0"/>
          <w:i w:val="0"/>
          <w:color w:val="000000"/>
          <w:sz w:val="22"/>
        </w:rPr>
        <w:t>锁定结构后，使用 VisA seed 1/2 与 MVTec 作为独立验证，报告完整 mean ± std。</w:t>
      </w:r>
    </w:p>
    <w:p>
      <w:pPr>
        <w:pStyle w:val="Heading1"/>
        <w:keepNext/>
        <w:spacing w:before="320" w:after="160"/>
      </w:pPr>
      <w:r>
        <w:rPr>
          <w:rFonts w:ascii="Calibri" w:hAnsi="Calibri" w:eastAsia="Microsoft YaHei"/>
          <w:b/>
          <w:i w:val="0"/>
          <w:color w:val="2E74B5"/>
          <w:sz w:val="32"/>
        </w:rPr>
        <w:t>六、当前判断</w:t>
      </w:r>
    </w:p>
    <w:p>
      <w:pPr>
        <w:spacing w:after="120" w:line="264" w:lineRule="auto"/>
      </w:pPr>
      <w:r>
        <w:rPr>
          <w:rFonts w:ascii="Calibri" w:hAnsi="Calibri" w:eastAsia="Microsoft YaHei"/>
          <w:b w:val="0"/>
          <w:i w:val="0"/>
          <w:color w:val="000000"/>
          <w:sz w:val="22"/>
        </w:rPr>
        <w:t>项目的主要风险已从“数据、环境和评估能否稳定运行”转移为“完整矩阵的计算时间与新方法的可复现性”。当前基准框架已经足以支撑动态融合的工程设计；正式训练与结论应等待预注册的验证协议和剩余基线结果完成后再进行。</w:t>
      </w:r>
    </w:p>
    <w:p>
      <w:pPr>
        <w:spacing w:after="0" w:line="264" w:lineRule="auto"/>
      </w:pPr>
      <w:r>
        <w:rPr>
          <w:rFonts w:ascii="Calibri" w:hAnsi="Calibri" w:eastAsia="Microsoft YaHei"/>
          <w:b w:val="0"/>
          <w:i w:val="0"/>
          <w:color w:val="555555"/>
          <w:sz w:val="19"/>
        </w:rPr>
        <w:t>数据来源：PLAN.md、PROJECT_STATUS.md、experiments/registry.csv、PromptAD 统一评估 summary.csv、日志与预测缓存。报告中的运行中状态以 2026-07-30 17:30 的终端检查为准。</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666666"/>
        <w:sz w:val="18"/>
      </w:rPr>
      <w:t>项目进度报告 | 2026-07-30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YaHei"/>
        <w:b w:val="0"/>
        <w:i w:val="0"/>
        <w:color w:val="666666"/>
        <w:sz w:val="18"/>
      </w:rPr>
      <w:t>少样本工业异常检测项目 · 进度报告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