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少样本工业异常检测项目总览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V1–V3 方案演进、当前结论与论文输出定位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 xml:space="preserve"> 项目已建立可复核的少样本基线、统一预测缓存与泄漏审计流程。动态融合的 V1、V2、V3 均完成了相应验证，但尚未得到可稳定超越强视觉分支、可正式冻结的动态融合算法。当前应如实保留负结果，并把 GPU 资源优先用于既定基线矩阵和论文证据补齐。</w:t>
            </w:r>
          </w:p>
        </w:tc>
      </w:tr>
    </w:tbl>
    <w:p>
      <w:pPr>
        <w:pStyle w:val="Heading1"/>
      </w:pPr>
      <w:r>
        <w:t>1. 项目已具备的基础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数据与协议：围绕 VisA、MVTec AD、MPDD 等数据建立了 1/2/4-shot、3 个随机种子、嵌套抽样和统一清单机制。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方法与输出：PatchCore、WinCLIP+、AnomalyDINO、PromptAD 等方法可导出统一 NPZ 预测缓存，并由方法无关的评估器复核图像级与像素级指标。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可追溯性：实验采用独立 RunId、日志、清单哈希和缓存审计；动态融合的路由器禁止读取测试标签、测试掩码或测试集整体统计量。</w:t>
      </w:r>
    </w:p>
    <w:p>
      <w:pPr>
        <w:pStyle w:val="Heading1"/>
      </w:pPr>
      <w:r>
        <w:t>2. V1–V3 的方案演进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版本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核心改动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验证发现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当前定位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V1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视觉分支与文本分支的图像级/像素级融合；引入固定与动态权重、温度和双层路由。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接口、校准和消融均完成，但校准出现严重饱和，导致熵与权重不能可靠表达分支优劣。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冻结为第一版失败证据；不再继续调温度。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V2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改为排序保持校准、支持范围检测、视觉默认回退和受限文本辅助；新增 MPDD 开发协议。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数值饱和已被修复，软件和审计通过；但 3 seeds × 1/2/4-shot 中，文本几乎未被可靠选中，最终收益接近零。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工程与安全机制有效，但未形成有实际增益的动态融合方法。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V3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以更强的 AdaptCLIP 替换旧文本分支；先验收缓存，再按 Gate A1/A2 分别检查上限与无标签可预测性。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A1 表明文本分支存在明显理论上限；A2 显示当前正常参考校准下，路由器不能可靠识别应使用文本的位置。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有效负结果；不扩展至更多 seed、shot 或数据集。</w:t>
            </w:r>
          </w:p>
        </w:tc>
      </w:tr>
    </w:tbl>
    <w:p>
      <w:pPr>
        <w:pStyle w:val="Heading1"/>
      </w:pPr>
      <w:r>
        <w:t>3. V2 与 V3 为什么没有达到预期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V2 的主要问题不是实现错误。它成功解决了 V1 的分数饱和和安全回退问题，但在实际开发矩阵中，路由器大多选择视觉分支；允许文本参与后的像素指标变化极小。因此，V2 更像一套可靠的融合与审计框架，而不是已经证明有效的动态融合算法。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V3 的结论更具体：AdaptCLIP 作为文本分支确实带来了潜在信息。离线 Oracle 分析显示，图像级上限在 5/6 类别为正，像素级上限在 6/6 类别为正，约一半异常区域中文本更强。但是，无标签路由不能把这种上限转化为实际收益。最保守配置下，平均像素 AP 下降 0.07369、像素 AUROC 下降 0.00769，6 个类别没有正向改进。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这说明当前瓶颈在“何时信任文本”的可靠性估计，而不是简单地更换文本模型。为了保证结论可信，V2/V3 均不应包装成成功方法，也不应仅凭个别类别或单一 seed 宣称改进。</w:t>
      </w:r>
    </w:p>
    <w:p>
      <w:pPr>
        <w:pStyle w:val="Heading1"/>
      </w:pPr>
      <w:r>
        <w:t>4. 目前项目状态与下一步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已完成：基线方法的统一评测基础、动态融合 V1/V2/V3 的核心实现与审计、V3 AdaptCLIP 的缓存验收和两道 Gate。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不再做：对 V2/V3 进行无边界参数搜索；在未出现新的、预先定义的无标签可靠性信号前，启动 V3 的大规模 GPU 矩阵。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优先做：补齐并审计基线方法矩阵，保持 MVTec 主表只使用完整配置；整理方法比较、失败案例和动态融合消融证据。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若未来重启动态融合：必须提出新的无标签可靠性特征，先在开发集重做 Gate A1/A2，通过后才允许进入多 seed、多 shot 和保持集验证。</w:t>
      </w:r>
    </w:p>
    <w:p>
      <w:pPr>
        <w:pStyle w:val="Heading1"/>
      </w:pPr>
      <w:r>
        <w:t>5. 论文初稿输出（简要）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论文初稿可以先完成问题背景、少样本实验协议、统一评测框架、基线结果和动态融合设计。动态融合部分应将 V1–V3 写成严格的消融与失败分析：说明哪些改动修复了数值或工程问题，哪些门控结果未通过，以及为何不扩大未通过方案。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在基线矩阵和公平比较完整前，不给出跨方法最终排名；在没有稳定提升前，不把 V2/V3 写为论文的核心性能贡献。这样的初稿仍可作为可审计的研究记录，并为后续新路由器设计保留清晰的对照基线。</w:t>
      </w:r>
    </w:p>
    <w:p>
      <w:pPr>
        <w:pStyle w:val="Heading1"/>
      </w:pPr>
      <w:r>
        <w:t>6. 结语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当前项目最有价值的产出是：以统一协议把“分支有潜力”和“无标签动态融合能稳定发挥该潜力”区分开来。V1–V3 已经说明，后者不能仅靠温度、校准或更强文本模型自动获得。后续工作应先保证基线结果完整可靠，再决定是否投入下一轮动态路由研究。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内部项目简报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少样本工业异常检测项目 | 精简总览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少样本工业异常检测项目总览</dc:title>
  <dc:subject>V1-V3 方案演进与当前结论</dc:subject>
  <dc:creator>SCI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