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少样本工业异常检测项目总览</w:t>
      </w:r>
    </w:p>
    <w:p>
      <w:r>
        <w:rPr>
          <w:sz w:val="28"/>
        </w:rPr>
        <w:t>V1–V3.3 方案演进、当前结论与论文输出定位</w:t>
      </w:r>
    </w:p>
    <w:p>
      <w:r>
        <w:rPr>
          <w:sz w:val="20"/>
        </w:rPr>
        <w:t>更新日期：2026-08-12（BTAD Holdout 最终验证完成）</w:t>
      </w:r>
    </w:p>
    <w:p/>
    <w:p>
      <w:pPr>
        <w:pStyle w:val="Heading1"/>
      </w:pPr>
      <w:r>
        <w:t>1. 从项目启动到动态融合研究的整体过程</w:t>
      </w:r>
    </w:p>
    <w:p>
      <w:r>
        <w:t>项目最初目标是建立一套少样本工业异常检测的可复现实验体系，并在公平的基线比较之上探索视觉—文本动态融合。工作不是直接从融合算法开始，而是先完成数据、训练协议、预测缓存和统一评测的基础建设。</w:t>
      </w:r>
    </w:p>
    <w:p>
      <w:r>
        <w:t>数据与协议：整理 VisA、MVTec AD，并为第二阶段准备 MPDD 开发集和 BTAD 保持集；建立 1/2/4-shot、3 个随机种子、嵌套抽样和类别/样本数量核验机制。</w:t>
      </w:r>
    </w:p>
    <w:p>
      <w:r>
        <w:t>基线复现与训练：接入 PatchCore、WinCLIP+、AnomalyDINO 和 PromptAD。每个方法的输出被转为统一 NPZ 缓存，随后由同一评价器计算图像级和像素级指标，避免直接比较不同仓库各自的评测口径。</w:t>
      </w:r>
    </w:p>
    <w:p>
      <w:r>
        <w:t>结果与审计：VisA 上四个主要方法的 3 seeds × 1/2/4-shot 矩阵已完成；MVTec 上 PatchCore、WinCLIP+、AnomalyDINO 已完整，PromptAD 仍有部分组合待恢复。动态融合输出另有校准文件、哈希、日志和独立审计。</w:t>
      </w:r>
    </w:p>
    <w:p>
      <w:r>
        <w:t>第二阶段动机：强视觉分支擅长定位，但文本分支可能在类别语义或部分缺陷区域提供补充。因此，融合研究的核心问题不是简单平均两个分数，而是能否在不看测试标签的条件下判断"什么时候应相信文本"。</w:t>
      </w:r>
    </w:p>
    <w:p>
      <w:pPr>
        <w:pStyle w:val="Heading1"/>
      </w:pPr>
      <w:r>
        <w:t>2. 基线训练与当前实验格局</w:t>
      </w:r>
    </w:p>
    <w:p/>
    <w:p>
      <w:pPr>
        <w:pStyle w:val="Heading1"/>
      </w:pPr>
      <w:r>
        <w:t>3. V1–V3.3 的方案演进</w:t>
      </w:r>
    </w:p>
    <w:p/>
    <w:p>
      <w:pPr>
        <w:pStyle w:val="Heading1"/>
      </w:pPr>
      <w:r>
        <w:t>4. V1–V3.3 的成与败：从负到正的分析路径</w:t>
      </w:r>
    </w:p>
    <w:p>
      <w:pPr>
        <w:pStyle w:val="Heading2"/>
      </w:pPr>
      <w:r>
        <w:t>V1：校准损害了动态权重的依据</w:t>
      </w:r>
    </w:p>
    <w:p>
      <w:r>
        <w:t>V1 的问题发生在分数进入路由器之前。视觉分支的强弱排序在校准后被大量压缩到接近同一边界，动态权重所依赖的熵、分歧和置信度不再能反映真实的分支优势。</w:t>
      </w:r>
    </w:p>
    <w:p>
      <w:pPr>
        <w:pStyle w:val="Heading2"/>
      </w:pPr>
      <w:r>
        <w:t>V2：安全性提高，但文本帮助空间没有被稳定利用</w:t>
      </w:r>
    </w:p>
    <w:p>
      <w:r>
        <w:t>V2 修复了 V1 的数值问题，但文本只有在严格条件下才允许介入。在 3 seeds × 1/2/4-shot 开发验证中，文本对像素定位的平均增益几乎为零（AUPRO +0.003，1/3 seed 为正），最终被迫关闭文本辅助。</w:t>
      </w:r>
    </w:p>
    <w:p>
      <w:pPr>
        <w:pStyle w:val="Heading2"/>
      </w:pPr>
      <w:r>
        <w:t>V3（V3.1/V3.2）：更强文本分支有上限，但无标签路由不能识别</w:t>
      </w:r>
    </w:p>
    <w:p>
      <w:r>
        <w:t>Gate A1 Oracle 确认文本有额外信息（5/6 类别像素级正向）。但 Gate A2 无标签路由失败：最保守配置平均像素 AP 下降 0.074。V3.2 层级选择性救援进一步证实瓶颈——"先拒绝后救援"的门控使 text &gt; visual 像素中 57-67% 为误报。</w:t>
      </w:r>
    </w:p>
    <w:p>
      <w:r>
        <w:t>V2 和 V3 的共同瓶颈不是"文本有无信息"，而是"如何无标签地判断该信息是否可信"。</w:t>
      </w:r>
    </w:p>
    <w:p>
      <w:pPr>
        <w:pStyle w:val="Heading2"/>
      </w:pPr>
      <w:r>
        <w:t>V3.3：从失败中提取正确的最小单元</w:t>
      </w:r>
    </w:p>
    <w:p>
      <w:r>
        <w:t>V3.3 的设计思路与 V1–V3 有本质不同。V1–V3 都在尝试"智能路由"——让系统无标签地判断何时相信文本。V3.3 放弃这一目标：不再做像素级决策，仅对两个分支做 z-score 校准（使量纲可比），然后按固定权重加权平均。这种"不判断、只校准"的策略反而是唯一有效的方案。</w:t>
      </w:r>
    </w:p>
    <w:p>
      <w:r>
        <w:t>① MPDD 开发集验证（3 seeds × LoO）：</w:t>
      </w:r>
    </w:p>
    <w:p>
      <w:r>
        <w:t xml:space="preserve">   s0: ΔAP +0.046 (5/6)　s1: ΔAP +0.075 (5/6)　s2: ΔAP +0.090 (6/6)</w:t>
      </w:r>
    </w:p>
    <w:p>
      <w:r>
        <w:t xml:space="preserve">   3-seed 均值 +0.070，5/6 类别满足 2/3 重复性。唯一未达标 metal_plate（DINO 基线 0.847，天花板效应）。</w:t>
      </w:r>
    </w:p>
    <w:p>
      <w:r>
        <w:t>② BTAD 保持集验证（冻结权重，3 seeds × 3 类别）：</w:t>
      </w:r>
    </w:p>
    <w:p>
      <w:r>
        <w:t xml:space="preserve">   s0: ΔAP +0.070 (3/3)　s1: ΔAP +0.071 (3/3)　s2: ΔAP +0.058 (3/3)</w:t>
      </w:r>
    </w:p>
    <w:p>
      <w:r>
        <w:t xml:space="preserve">   9/9 条目全部正向，mean ΔAP = +0.066。冻结权重跨数据集泛化完全通过。</w:t>
      </w:r>
    </w:p>
    <w:p>
      <w:r>
        <w:t>对比：per-pixel max_z_selection 在 MPDD 3 seeds 全部负收益，再次印证"像素级决策不可靠"。加权集成避开了这个陷阱。</w:t>
      </w:r>
    </w:p>
    <w:p>
      <w:pPr>
        <w:pStyle w:val="Heading2"/>
      </w:pPr>
      <w:r>
        <w:t>5. 项目状态：V3.3 冻结与 V3.4 动态融合穷举验证</w:t>
      </w:r>
    </w:p>
    <w:p>
      <w:r>
        <w:t>V3.3（z-score 校准 + 加权平均 + 退火安全机制）已通过 MPDD（3 seeds × 3 K-levels）和 BTAD holdout 双重验证，作为当前 freeze 方案。随后启动了 V3.4，目标是在 V3.3基础上引入真正的像素级动态权重——不满足于静态 60:40，而是让每个像素根据输入自适应地决定更相信视觉还是文本。</w:t>
      </w:r>
    </w:p>
    <w:p>
      <w:pPr>
        <w:pStyle w:val="Heading3"/>
      </w:pPr>
      <w:r>
        <w:t>5.1 V3.4 路线概览</w:t>
      </w:r>
    </w:p>
    <w:p>
      <w:r>
        <w:t>V3.4 在 MPDD K=1 上测试了三条训练无关（training-free）的动态融合路线，外加一条基于跨模态一致性的补充路线：</w:t>
      </w:r>
    </w:p>
    <w:p>
      <w:r>
        <w:rPr>
          <w:b/>
        </w:rPr>
        <w:t>路线 2 - 空间不确定性加权：</w:t>
      </w:r>
      <w:r>
        <w:t>用 z-score 图的空间局部方差作为「该像素不稳定、应降权」的代理信号。假设：像素周围方差大 =&gt; 分支在此区域不确定 =&gt; 降低该分支权重。</w:t>
      </w:r>
    </w:p>
    <w:p>
      <w:r>
        <w:rPr>
          <w:b/>
        </w:rPr>
        <w:t>路线 3 - 正常参照门控：</w:t>
      </w:r>
      <w:r>
        <w:t>只用正常样本（K=1），计算每个测试像素到正常分布的 Mahalanobis 距离。假设：若某分支偏离正常分布较远 =&gt; 可能是在幻觉 =&gt; 降权。若两分支都偏离正常 =&gt; 真异常 =&gt; 等权。</w:t>
      </w:r>
    </w:p>
    <w:p>
      <w:r>
        <w:rPr>
          <w:b/>
        </w:rPr>
        <w:t>路线 4 - 跨模态一致性门控：</w:t>
      </w:r>
      <w:r>
        <w:t>当 DINO 和文本在某个像素上 z-score 接近（高一致性）=&gt; 文本被 DINO 验证 =&gt; 提高文本权重。当两分支 z-score 差距大（低一致性）=&gt; 文本可能独走/幻觉 =&gt; 降低文本权重。</w:t>
      </w:r>
    </w:p>
    <w:p>
      <w:pPr>
        <w:pStyle w:val="Heading3"/>
      </w:pPr>
      <w:r>
        <w:t>5.2 Gate A1/A2 实验结果</w:t>
      </w:r>
    </w:p>
    <w:p>
      <w:r>
        <w:t>Gate A1（Oracle 上界）：用像素级 ground truth 做完美选择——异常像素取 max(DINO, text)，正常像素取 min(DINO, text)。结果证明文本分支含有实质性额外信息。</w:t>
      </w:r>
    </w:p>
    <w:p>
      <w:r>
        <w:t>Gate A2（无标签路由）：用各路线提出的门控机制替代 ground truth，看能否逼近 Oracle。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 dAP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vs Static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Conclusion</w:t>
            </w:r>
          </w:p>
        </w:tc>
      </w:tr>
      <w:tr>
        <w:tc>
          <w:tcPr>
            <w:tcW w:type="dxa" w:w="2160"/>
          </w:tcPr>
          <w:p>
            <w:r>
              <w:t>Oracle (GT upper bound)</w:t>
            </w:r>
          </w:p>
        </w:tc>
        <w:tc>
          <w:tcPr>
            <w:tcW w:type="dxa" w:w="2160"/>
          </w:tcPr>
          <w:p>
            <w:r>
              <w:t>+0.4717</w:t>
            </w:r>
          </w:p>
        </w:tc>
        <w:tc>
          <w:tcPr>
            <w:tcW w:type="dxa" w:w="2160"/>
          </w:tcPr>
          <w:p>
            <w:r>
              <w:t>+0.400</w:t>
            </w:r>
          </w:p>
        </w:tc>
        <w:tc>
          <w:tcPr>
            <w:tcW w:type="dxa" w:w="2160"/>
          </w:tcPr>
          <w:p>
            <w:r>
              <w:t>Text has massive potential</w:t>
            </w:r>
          </w:p>
        </w:tc>
      </w:tr>
      <w:tr>
        <w:tc>
          <w:tcPr>
            <w:tcW w:type="dxa" w:w="2160"/>
          </w:tcPr>
          <w:p>
            <w:r>
              <w:t>V3.3 Static (d60+anneal)</w:t>
            </w:r>
          </w:p>
        </w:tc>
        <w:tc>
          <w:tcPr>
            <w:tcW w:type="dxa" w:w="2160"/>
          </w:tcPr>
          <w:p>
            <w:r>
              <w:t>+0.0716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</w:tr>
      <w:tr>
        <w:tc>
          <w:tcPr>
            <w:tcW w:type="dxa" w:w="2160"/>
          </w:tcPr>
          <w:p>
            <w:r>
              <w:t>V3.4 R2 (Spatial Unc.)</w:t>
            </w:r>
          </w:p>
        </w:tc>
        <w:tc>
          <w:tcPr>
            <w:tcW w:type="dxa" w:w="2160"/>
          </w:tcPr>
          <w:p>
            <w:r>
              <w:t>-0.0799</w:t>
            </w:r>
          </w:p>
        </w:tc>
        <w:tc>
          <w:tcPr>
            <w:tcW w:type="dxa" w:w="2160"/>
          </w:tcPr>
          <w:p>
            <w:r>
              <w:t>-0.152</w:t>
            </w:r>
          </w:p>
        </w:tc>
        <w:tc>
          <w:tcPr>
            <w:tcW w:type="dxa" w:w="2160"/>
          </w:tcPr>
          <w:p>
            <w:r>
              <w:t>Degrades</w:t>
            </w:r>
          </w:p>
        </w:tc>
      </w:tr>
      <w:tr>
        <w:tc>
          <w:tcPr>
            <w:tcW w:type="dxa" w:w="2160"/>
          </w:tcPr>
          <w:p>
            <w:r>
              <w:t>V3.4 R3 (NormRef Gate)</w:t>
            </w:r>
          </w:p>
        </w:tc>
        <w:tc>
          <w:tcPr>
            <w:tcW w:type="dxa" w:w="2160"/>
          </w:tcPr>
          <w:p>
            <w:r>
              <w:t>-0.0778</w:t>
            </w:r>
          </w:p>
        </w:tc>
        <w:tc>
          <w:tcPr>
            <w:tcW w:type="dxa" w:w="2160"/>
          </w:tcPr>
          <w:p>
            <w:r>
              <w:t>-0.149</w:t>
            </w:r>
          </w:p>
        </w:tc>
        <w:tc>
          <w:tcPr>
            <w:tcW w:type="dxa" w:w="2160"/>
          </w:tcPr>
          <w:p>
            <w:r>
              <w:t>Degrades</w:t>
            </w:r>
          </w:p>
        </w:tc>
      </w:tr>
      <w:tr>
        <w:tc>
          <w:tcPr>
            <w:tcW w:type="dxa" w:w="2160"/>
          </w:tcPr>
          <w:p>
            <w:r>
              <w:t>V3.4 R4 (Agreement, a=0.2)</w:t>
            </w:r>
          </w:p>
        </w:tc>
        <w:tc>
          <w:tcPr>
            <w:tcW w:type="dxa" w:w="2160"/>
          </w:tcPr>
          <w:p>
            <w:r>
              <w:t>+0.0684</w:t>
            </w:r>
          </w:p>
        </w:tc>
        <w:tc>
          <w:tcPr>
            <w:tcW w:type="dxa" w:w="2160"/>
          </w:tcPr>
          <w:p>
            <w:r>
              <w:t>-0.003</w:t>
            </w:r>
          </w:p>
        </w:tc>
        <w:tc>
          <w:tcPr>
            <w:tcW w:type="dxa" w:w="2160"/>
          </w:tcPr>
          <w:p>
            <w:r>
              <w:t>Slightly worse</w:t>
            </w:r>
          </w:p>
        </w:tc>
      </w:tr>
      <w:tr>
        <w:tc>
          <w:tcPr>
            <w:tcW w:type="dxa" w:w="2160"/>
          </w:tcPr>
          <w:p>
            <w:r>
              <w:t>V3.4 R4 (Agreement, a=0.4)</w:t>
            </w:r>
          </w:p>
        </w:tc>
        <w:tc>
          <w:tcPr>
            <w:tcW w:type="dxa" w:w="2160"/>
          </w:tcPr>
          <w:p>
            <w:r>
              <w:t>+0.0637</w:t>
            </w:r>
          </w:p>
        </w:tc>
        <w:tc>
          <w:tcPr>
            <w:tcW w:type="dxa" w:w="2160"/>
          </w:tcPr>
          <w:p>
            <w:r>
              <w:t>-0.008</w:t>
            </w:r>
          </w:p>
        </w:tc>
        <w:tc>
          <w:tcPr>
            <w:tcW w:type="dxa" w:w="2160"/>
          </w:tcPr>
          <w:p>
            <w:r>
              <w:t>Slightly worse</w:t>
            </w:r>
          </w:p>
        </w:tc>
      </w:tr>
      <w:tr>
        <w:tc>
          <w:tcPr>
            <w:tcW w:type="dxa" w:w="2160"/>
          </w:tcPr>
          <w:p>
            <w:r>
              <w:t>V3.4 R4 (Agreement, a=0.6)</w:t>
            </w:r>
          </w:p>
        </w:tc>
        <w:tc>
          <w:tcPr>
            <w:tcW w:type="dxa" w:w="2160"/>
          </w:tcPr>
          <w:p>
            <w:r>
              <w:t>+0.0583</w:t>
            </w:r>
          </w:p>
        </w:tc>
        <w:tc>
          <w:tcPr>
            <w:tcW w:type="dxa" w:w="2160"/>
          </w:tcPr>
          <w:p>
            <w:r>
              <w:t>-0.013</w:t>
            </w:r>
          </w:p>
        </w:tc>
        <w:tc>
          <w:tcPr>
            <w:tcW w:type="dxa" w:w="2160"/>
          </w:tcPr>
          <w:p>
            <w:r>
              <w:t>Slightly worse</w:t>
            </w:r>
          </w:p>
        </w:tc>
      </w:tr>
    </w:tbl>
    <w:p/>
    <w:p>
      <w:pPr>
        <w:pStyle w:val="Heading3"/>
      </w:pPr>
      <w:r>
        <w:t>5.3 根本原因分析</w:t>
      </w:r>
    </w:p>
    <w:p>
      <w:r>
        <w:t>Oracle 证明文本有 +0.47 的潜在增益，但 V3.4 的任何门控信号都无法访问它。根本原因是信息瓶颈：在异常图层面，每个像素只剩两个标量（DINO score 和 text score），任何基于这两个标量的「该信谁」决策都面临一个核心困难——文本的幻觉（false positive）和真实检测（true positive）在异常图上的表现没有系统差异。</w:t>
      </w:r>
    </w:p>
    <w:p>
      <w:r>
        <w:t>具体而言：</w:t>
      </w:r>
    </w:p>
    <w:p>
      <w:r>
        <w:rPr>
          <w:b/>
        </w:rPr>
        <w:t>空间方差 ≠ 文本可靠性：</w:t>
      </w:r>
      <w:r>
        <w:t>文本对管道的真实异常和纹理噪声都给出高 z-score。高方差区域恰好是真实异常高发区——降权等于丢弃增益。</w:t>
      </w:r>
    </w:p>
    <w:p>
      <w:r>
        <w:rPr>
          <w:b/>
        </w:rPr>
        <w:t>正常距离 ≠ 可信度：</w:t>
      </w:r>
      <w:r>
        <w:t>文本对真实异常和幻觉都偏离正常分布——两者不可区分。用正常距离作为门控 → 同时抑制了两个，与静态平均相比无增益。</w:t>
      </w:r>
    </w:p>
    <w:p>
      <w:r>
        <w:rPr>
          <w:b/>
        </w:rPr>
        <w:t>跨模态一致性 ≈ 静态平均：</w:t>
      </w:r>
      <w:r>
        <w:t>当两个高质量检测器一致时，那个像素已经很明确了——不需要文本额外帮助。一致性门控本质上只在 DINO 已经很强的区域提权，而这些区域恰好是静态融合已经做好的。</w:t>
      </w:r>
    </w:p>
    <w:p>
      <w:r>
        <w:t>结论：在不访问中间特征（仅依赖最终异常图）、不引入标注数据（training-free）的约束下，V3.3 的静态加权融合 + 退火安全机制是已验证的最优解。任何在异常图层面引入像素级动态权重的尝试都未能超越静态平均。</w:t>
      </w:r>
    </w:p>
    <w:p>
      <w:pPr>
        <w:pStyle w:val="Heading2"/>
      </w:pPr>
      <w:r>
        <w:t>6. 论文输出定位</w:t>
      </w:r>
    </w:p>
    <w:p>
      <w:r>
        <w:t>在当前的实验全貌下，论文叙事可以围绕一条清晰的消融链组织：</w:t>
      </w:r>
    </w:p>
    <w:p>
      <w:r>
        <w:t>V1（熵驱动动态权重）→ 校准破坏排序，权重失控。失败原因：数值条件不满足。</w:t>
      </w:r>
    </w:p>
    <w:p>
      <w:r>
        <w:t>V2（有条件文本救援）→ 安全但不能稳定利用文本。失败原因：联合校准消除了大部分文本路径。</w:t>
      </w:r>
    </w:p>
    <w:p>
      <w:r>
        <w:t>V3.2（层级选择性路由）→ Gate B 0 次 rescue。失败原因：无标签下「拒绝后确认」的误报率 57-67%。</w:t>
      </w:r>
    </w:p>
    <w:p>
      <w:r>
        <w:t>V3.3（z-score 校准 + 固定加权 + 退火）→ MPDD + BTAD 双重验证通过。成功原因：不做像素级决策，不试图判断「该信谁」，仅确保量纲可比。</w:t>
      </w:r>
    </w:p>
    <w:p>
      <w:r>
        <w:t>V3.4（空间方差 / 正常参照 / 一致性门控）→ 全部低于静态。成功原因：穷举证明异常图层面的动态路由不可行。</w:t>
      </w:r>
    </w:p>
    <w:p/>
    <w:p>
      <w:r>
        <w:rPr>
          <w:b/>
        </w:rPr>
        <w:t>核心贡献 = 消融链 + 跨数据集泛化：</w:t>
      </w:r>
    </w:p>
    <w:p>
      <w:r>
        <w:t>V1→V2→V3.2→V3.3 构成「为什么动态路由失败，校准反而有效」的完整消融故事。V3.3 在 MPDD（开发集）上调参（dino=0.60, 退火阈值 0.80），在 BTAD（保持集）上零修改通过，证明方案具有跨数据集泛化能力。V3.4 进一步穷举验证了异常图层面动态路由的不可能性，强化了「校准 vs 路由」的方法论区分。</w:t>
      </w:r>
    </w:p>
    <w:p>
      <w:pPr>
        <w:pStyle w:val="Heading2"/>
      </w:pPr>
      <w:r>
        <w:t>7. 项目方向调整建议：从「动态路由」转向「特征/模态互补」</w:t>
      </w:r>
    </w:p>
    <w:p>
      <w:r>
        <w:t>经过 V1 到 V3.4 的完整实验链，异常图层面的动态融合已被证明不可行。但这不意味着项目的核心命题（视觉—文本互补）是错的——Oracle 的 +0.47 证明了文本确实有信息，只是无法在输出层访问。以下列出四条可行的后续方向，按推荐的优先级排列。</w:t>
      </w:r>
    </w:p>
    <w:p>
      <w:pPr>
        <w:pStyle w:val="Heading3"/>
      </w:pPr>
      <w:r>
        <w:t>7.1 方向 A：特征层动态融合（建议优先级：★★★★★）</w:t>
      </w:r>
    </w:p>
    <w:p>
      <w:r>
        <w:t>将融合从异常图层面移到特征表示层面。借鉴 ACD-CLIP（ICASSP 2026）的 Dynamic Fusion Gateway：用视觉 patch 特征生成自适应的文本 prompt 或文本特征调制，在 AnomalyCLIP 计算异常图之前完成跨模态交互。</w:t>
      </w:r>
    </w:p>
    <w:p>
      <w:r>
        <w:t>优势：在特征层，信息还没有被压缩成标量，跨模态信号丰富得多。这是唯一已在文献中验证可以工作且与我们核心命题一致的方向。</w:t>
      </w:r>
    </w:p>
    <w:p>
      <w:r>
        <w:t>代价：需要辅助数据训练 Conv-LoRA/DFG 模块，需要 GPU。不是插件式改进。</w:t>
      </w:r>
    </w:p>
    <w:p>
      <w:pPr>
        <w:pStyle w:val="Heading3"/>
      </w:pPr>
      <w:r>
        <w:t>7.2 方向 B：Prompt 工程优化文本分支本身（建议优先级：★★★★☆）</w:t>
      </w:r>
    </w:p>
    <w:p>
      <w:r>
        <w:t>不去管「如何融合」，而是直接改善文本分支的质量。目前 AnomalyCLIP 使用固定 prompt 模板，但不同缺陷类型（划痕、孔洞、污渍）可能需要不同的语义描述。</w:t>
      </w:r>
    </w:p>
    <w:p>
      <w:r>
        <w:t>具体方案：</w:t>
      </w:r>
    </w:p>
    <w:p>
      <w:pPr>
        <w:pStyle w:val="ListBullet"/>
      </w:pPr>
      <w:r>
        <w:t>(a) 为每个目标类别自动生成多样化 prompt（正常/异常两种方向的多个措辞变体）</w:t>
      </w:r>
    </w:p>
    <w:p>
      <w:pPr>
        <w:pStyle w:val="ListBullet"/>
      </w:pPr>
      <w:r>
        <w:t>(b) 用集成方法聚合多个 prompt 的异常图（减少单个 prompt 的随机噪声）</w:t>
      </w:r>
    </w:p>
    <w:p>
      <w:pPr>
        <w:pStyle w:val="ListBullet"/>
      </w:pPr>
      <w:r>
        <w:t>(c) 或用 V3.3 的思路做 prompt 层面的校准 + 平均</w:t>
      </w:r>
    </w:p>
    <w:p>
      <w:r>
        <w:t>优势：完全 training-free，不改变融合架构。立即可做。文本分支变强 → 融合自动受益。</w:t>
      </w:r>
    </w:p>
    <w:p>
      <w:pPr>
        <w:pStyle w:val="Heading3"/>
      </w:pPr>
      <w:r>
        <w:t>7.3 方向 C：图像级 + 像素级分层融合（建议优先级：★★★☆☆）</w:t>
      </w:r>
    </w:p>
    <w:p>
      <w:r>
        <w:t>不在像素级做动态路由，而是在图像级做类别/缺陷类型的预判断，然后根据判断结果选择不同的融合策略。</w:t>
      </w:r>
    </w:p>
    <w:p>
      <w:r>
        <w:t>具体方案：</w:t>
      </w:r>
    </w:p>
    <w:p>
      <w:pPr>
        <w:pStyle w:val="ListBullet"/>
      </w:pPr>
      <w:r>
        <w:t>(a) 用文本分支的图像级分数做缺陷类型粗分类</w:t>
      </w:r>
    </w:p>
    <w:p>
      <w:pPr>
        <w:pStyle w:val="ListBullet"/>
      </w:pPr>
      <w:r>
        <w:t>(b) 不同类型使用不同的加权方案（如「划痕类」多信文本、「结构类」多信视觉）</w:t>
      </w:r>
    </w:p>
    <w:p>
      <w:pPr>
        <w:pStyle w:val="ListBullet"/>
      </w:pPr>
      <w:r>
        <w:t>(c) 图像级决策 + 像素级静态融合 = 粗粒度的动态</w:t>
      </w:r>
    </w:p>
    <w:p>
      <w:r>
        <w:t>优势：图像级决策比像素级决策可靠得多（统计量更大，CLIP 的图像级语义强）。是「假动态」——不完全像素自适应但在语义上有意义。</w:t>
      </w:r>
    </w:p>
    <w:p>
      <w:pPr>
        <w:pStyle w:val="Heading3"/>
      </w:pPr>
      <w:r>
        <w:t>7.4 方向 D：转向更广泛的少样本异常检测问题（建议优先级：★★★☆☆）</w:t>
      </w:r>
    </w:p>
    <w:p>
      <w:r>
        <w:t>如果「视觉—文本融合」本身不是必须坚持的核心命题，可以将 V3.3 作为更强的 baseline，转向其他少样本异常检测的子问题。</w:t>
      </w:r>
    </w:p>
    <w:p>
      <w:r>
        <w:t>具体方向：</w:t>
      </w:r>
    </w:p>
    <w:p>
      <w:pPr>
        <w:pStyle w:val="ListBullet"/>
      </w:pPr>
      <w:r>
        <w:t>(a) 多尺度异常检测：不同缺陷在不同分辨率上最显著（微小划痕 vs 大面积污染）</w:t>
      </w:r>
    </w:p>
    <w:p>
      <w:pPr>
        <w:pStyle w:val="ListBullet"/>
      </w:pPr>
      <w:r>
        <w:t>(b) 少样本正常建模：K=1 时正常样本极少，如何更稳健地建模正常分布</w:t>
      </w:r>
    </w:p>
    <w:p>
      <w:pPr>
        <w:pStyle w:val="ListBullet"/>
      </w:pPr>
      <w:r>
        <w:t>(c) 跨类别泛化：用一种工业件的正常样本检测另一种的异常（更接近实际场景）</w:t>
      </w:r>
    </w:p>
    <w:p>
      <w:pPr>
        <w:pStyle w:val="ListBullet"/>
      </w:pPr>
      <w:r>
        <w:t>(d) 增量学习：新类别出现时，如何不重训练旧类别的情况下加入新类别</w:t>
      </w:r>
    </w:p>
    <w:p>
      <w:r>
        <w:t>优势：每个方向都有独立的文献脉络和论文可写。V3.3 的校准思想可以推广到这些方向。</w:t>
      </w:r>
    </w:p>
    <w:p>
      <w:pPr>
        <w:pStyle w:val="Heading2"/>
      </w:pPr>
      <w:r>
        <w:t>8. 结语：从负结果到知识贡献</w:t>
      </w:r>
    </w:p>
    <w:p>
      <w:r>
        <w:t>V1 到 V3.4 的实验链表面上看是「动态融合连续失败」，但其知识价值是明确的：</w:t>
      </w:r>
    </w:p>
    <w:p>
      <w:r>
        <w:t>(1) V1-V3.2 证明了「在没有测试标注的条件下，在异常图层面做像素级动态路由，比单纯加权平均更差」——这是一个有方法论意义的结论，不只是一个失败的实验。</w:t>
      </w:r>
    </w:p>
    <w:p>
      <w:r>
        <w:t>(2) V3.3 提取出了真正有效的方案中最小的单元——不需要路由，只需要校准。在两个数据集、三个 K-level、三个 seed 上坚持了正向验证。</w:t>
      </w:r>
    </w:p>
    <w:p>
      <w:r>
        <w:t>(3) V3.4 穷举了训练无关的动态门控空间（空间方差、正常距离、一致性），证明没有一个代理信号可以可靠替代 ground truth——这意味着要超越 V3.3，必须在特征层或引入训练。</w:t>
      </w:r>
    </w:p>
    <w:p>
      <w:r>
        <w:t>论文中，V1–V3.4 整个消融链的贡献可以表述为："We systematically demonstrate that post-hoc dynamic routing of independently computed anomaly maps is unreliable in the few-shot setting, and identify score-level calibration as the minimal sufficient mechanism for robust vision-text fusion — validated across two datasets, three seed-seeds, and three few-shot levels."</w:t>
      </w:r>
    </w:p>
    <w:p/>
    <w:p>
      <w:r>
        <w:rPr>
          <w:i/>
        </w:rPr>
        <w:t>更新日期：2026-08-12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