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92F92">
      <w:pPr>
        <w:keepNext/>
        <w:spacing w:before="160" w:after="160"/>
        <w:jc w:val="center"/>
      </w:pPr>
      <w:r>
        <w:rPr>
          <w:rFonts w:ascii="宋体" w:hAnsi="宋体" w:eastAsia="宋体"/>
          <w:b/>
          <w:color w:val="000000"/>
          <w:sz w:val="36"/>
        </w:rPr>
        <w:t>DCFnet：基于双编码器校准融合网络的</w:t>
      </w:r>
      <w:r>
        <w:rPr>
          <w:rFonts w:ascii="宋体" w:hAnsi="宋体" w:eastAsia="宋体"/>
          <w:b/>
          <w:color w:val="000000"/>
          <w:sz w:val="36"/>
        </w:rPr>
        <w:br w:type="textWrapping"/>
      </w:r>
      <w:r>
        <w:rPr>
          <w:rFonts w:ascii="宋体" w:hAnsi="宋体" w:eastAsia="宋体"/>
          <w:b/>
          <w:color w:val="000000"/>
          <w:sz w:val="36"/>
        </w:rPr>
        <w:t>少样本工业异常定位</w:t>
      </w:r>
    </w:p>
    <w:p w14:paraId="4BC8FFEB">
      <w:pPr>
        <w:spacing w:after="280"/>
        <w:jc w:val="center"/>
      </w:pPr>
      <w:r>
        <w:rPr>
          <w:rFonts w:ascii="宋体" w:hAnsi="宋体" w:eastAsia="宋体"/>
          <w:i/>
          <w:color w:val="666666"/>
          <w:sz w:val="20"/>
        </w:rPr>
        <w:t>作者信息在本工作稿中暂不公开</w:t>
      </w:r>
    </w:p>
    <w:p w14:paraId="69D47364">
      <w:pPr>
        <w:pStyle w:val="3"/>
        <w:keepNext/>
      </w:pPr>
      <w:r>
        <w:rPr>
          <w:rFonts w:ascii="微软雅黑" w:hAnsi="微软雅黑" w:eastAsia="微软雅黑"/>
          <w:b/>
          <w:color w:val="000000"/>
          <w:sz w:val="30"/>
        </w:rPr>
        <w:t>摘要</w:t>
      </w:r>
    </w:p>
    <w:p w14:paraId="4596EDBF">
      <w:pPr>
        <w:spacing w:before="0" w:after="100" w:line="300" w:lineRule="auto"/>
        <w:jc w:val="both"/>
      </w:pPr>
      <w:r>
        <w:rPr>
          <w:rFonts w:ascii="宋体" w:hAnsi="宋体" w:eastAsia="宋体"/>
          <w:color w:val="000000"/>
          <w:sz w:val="22"/>
        </w:rPr>
        <w:t>自动化视觉检测需要识别那些在系统部署前无法被穷尽列举其外观、尺度与位置的缺陷。在生产线启动阶段，这一问题尤为突出，因为此时一种新产品通常只能获得少量经确认无缺陷的图像。现有少样本工业异常检测方法越来越多地采用强大的预训练表征，但单一特征空间未必能够同时、稳定地响应细微纹理、物体几何结构以及具有语义意义的结构变化。本文提出 DCFnet，一种面向仅正常样本少样本工业异常检测与像素级定位的双编码器校准融合架构。DCFnet 使用冻结的 DINOv2 ViT-B/14 编码器，以及配置了 AnomalyCLIP 对角显著注意力图（DPAM）改动的冻结 CLIP ViT-L/14@336 视觉编码器。首先对异构 Patch 网格进行空间对齐，再分别执行 L2 归一化；随后按照固定等权重进行特征拼接，并再次归一化，进而构建类别特定的正常特征记忆库。查询图像的各 Patch 通过其与该记忆库之间的最近邻距离进行评分。该方法不包含可训练的融合参数，也不使用文本嵌入或目标域异常样本。在覆盖 MPDD、BTAD、VisA 和 MVTec AD 四个数据集、三个参考图像随机种子以及 1-shot、2-shot 和 4-shot 设置的匹配实验协议下，相比其余设置完全相同的 DINO-only 对照方法，DCFnet 的平均像素级平均精度（Pixel-AP）分别提高了 0.0258、0.0249、0.0524 和 0.0320。在全部 36 个“数据集—随机种子—样本数”配置中，DCFnet 均取得正向增益；但这种优势并非在所有类别或所有图像级指标上都成立。上述结果为数据稀缺工业检测中固定异构视觉特征融合的收益、局限性与计算代价提供了透明且可复现的参考。</w:t>
      </w:r>
    </w:p>
    <w:p w14:paraId="588DF190">
      <w:pPr>
        <w:spacing w:after="200" w:line="288" w:lineRule="auto"/>
      </w:pPr>
      <w:r>
        <w:rPr>
          <w:rFonts w:ascii="宋体" w:hAnsi="宋体" w:eastAsia="宋体"/>
          <w:b/>
          <w:color w:val="000000"/>
          <w:sz w:val="21"/>
        </w:rPr>
        <w:t>关键词：工业异常检测；少样本学习；异常定位；视觉基础模型；特征融合；正常特征记忆库</w:t>
      </w:r>
    </w:p>
    <w:p w14:paraId="4C2CEDF6">
      <w:pPr>
        <w:pStyle w:val="3"/>
        <w:keepNext/>
      </w:pPr>
      <w:r>
        <w:rPr>
          <w:rFonts w:ascii="微软雅黑" w:hAnsi="微软雅黑" w:eastAsia="微软雅黑"/>
          <w:b/>
          <w:color w:val="000000"/>
          <w:sz w:val="30"/>
        </w:rPr>
        <w:t>1. 引言</w:t>
      </w:r>
    </w:p>
    <w:p w14:paraId="0497A825">
      <w:pPr>
        <w:spacing w:before="0" w:after="120" w:line="300" w:lineRule="auto"/>
        <w:ind w:firstLine="360"/>
        <w:jc w:val="both"/>
      </w:pPr>
      <w:r>
        <w:rPr>
          <w:rFonts w:ascii="宋体" w:hAnsi="宋体" w:eastAsia="宋体"/>
          <w:color w:val="000000"/>
          <w:sz w:val="22"/>
        </w:rPr>
        <w:t>视觉质量检测是现代制造业的核心环节之一，因为即使细小表面缺陷、几何变形、零部件缺失或污染区域仅占图像中的很小一部分，也可能损害产品可靠性。传统监督式检测通常假设训练阶段已经获得具有代表性的缺陷类别以及足够精细的标注。然而，这一假设在工业生产中往往难以成立：缺陷产品本就应当是少数，工艺调整后还可能出现新的缺陷模式，而像素级标注又需要专业人员投入大量劳动。因此，工业异常检测通常通过学习正常外观模型，在测试阶段识别偏离正常模式的样本。MVTec AD、VisA、MPDD 和 BTAD 数据集使得研究者能够在纹理表面、工业制品、金属部件以及复杂真实零件等场景中量化评估这一任务 [1]-[4]。</w:t>
      </w:r>
    </w:p>
    <w:p w14:paraId="1A78FC9A">
      <w:pPr>
        <w:spacing w:before="0" w:after="120" w:line="300" w:lineRule="auto"/>
        <w:ind w:firstLine="360"/>
        <w:jc w:val="both"/>
      </w:pPr>
      <w:r>
        <w:rPr>
          <w:rFonts w:ascii="宋体" w:hAnsi="宋体" w:eastAsia="宋体"/>
          <w:color w:val="000000"/>
          <w:sz w:val="22"/>
        </w:rPr>
        <w:t>当正常数据本身也十分有限时，问题将更加严格，同时也更贴近实际应用。在新生产任务刚启动时，通常只能获得一张或少量经验证的正常图像；若必须先收集大规模类别特定训练集，将直接延缓系统部署。仅正常样本少样本异常检测旨在利用 K 张正常图像构建参考模型，并在不使用目标域异常样本的条件下检测此前未见的异常。基于 Patch 的记忆方法非常适合这一场景，因为它不要求预先定义封闭的缺陷类别体系：系统将查询图像的局部描述子与正常参考图像中提取的描述子进行比较，并可利用二者的偏差直接实现像素级定位。PatchCore 证明了最近邻 Patch 记忆库的有效性 [5]；DINOv2 则提供了无需类别特定表征训练即可迁移的强大自监督视觉描述子 [6]。随后，AnomalyDINO 进一步表明，冻结的 DINOv2 Patch 特征可以构成少样本工业异常检测的强基线 [7]。</w:t>
      </w:r>
    </w:p>
    <w:p w14:paraId="3216D6B5">
      <w:pPr>
        <w:spacing w:before="0" w:after="120" w:line="300" w:lineRule="auto"/>
        <w:ind w:firstLine="360"/>
        <w:jc w:val="both"/>
      </w:pPr>
      <w:r>
        <w:rPr>
          <w:rFonts w:ascii="宋体" w:hAnsi="宋体" w:eastAsia="宋体"/>
          <w:color w:val="000000"/>
          <w:sz w:val="22"/>
        </w:rPr>
        <w:t>然而，没有任何一种表征能够保证在多样化工业缺陷上始终同等有效。纹理不规则、细长划痕、大尺度结构变化、姿态变化以及重复组件，会对局部描述子提出不同要求。通过自监督视觉目标优化得到的表征可能更有利于保留空间对应关系和细粒度结构，而继承自图像—文本对比预训练的图像编码器则可能包含更广泛的语义规律。CLIP 证明了大规模图像—文本预训练的迁移能力 [8]，WinCLIP 将 CLIP 应用于零样本和少样本异常分类与分割 [9]。近期，AnomalyCLIP 学习了与具体物体类别无关的正常和异常提示，PromptAD 则仅使用目标域正常样本学习提示 [10]、[11]。这些研究体现了 CLIP 衍生表征的价值，但尚未回答这样一个问题：当下游检测器保持不变且推理阶段完全移除文本时，两个冻结编码器的视觉 Patch 描述子能否提供互补证据。</w:t>
      </w:r>
    </w:p>
    <w:p w14:paraId="2E9CFD80">
      <w:pPr>
        <w:spacing w:before="0" w:after="120" w:line="300" w:lineRule="auto"/>
        <w:ind w:firstLine="360"/>
        <w:jc w:val="both"/>
      </w:pPr>
      <w:r>
        <w:rPr>
          <w:rFonts w:ascii="宋体" w:hAnsi="宋体" w:eastAsia="宋体"/>
          <w:color w:val="000000"/>
          <w:sz w:val="22"/>
        </w:rPr>
        <w:t>这一问题并不简单，因为组合两个编码器本身并非全新的做法。Sea-CLIP 通过可训练提示、合成异常和异常匹配解码器融合 CLIP 与 DINOv2 表征 [12]。其他近期方法还引入了提示学习、多模态注意力、自适应池化、查询条件原型细化以及频域分支。这些机制可能提升模型能力，但也使性能增益的来源难以归因：观测到的提升可能来自辅助训练数据、可学习融合参数、合成缺陷或测试时自适应，而不一定源自底层冻结图像特征本身的互补性。因此，需要通过一个受控且无需训练的研究设计，单独考察第二种视觉表征所产生的贡献。</w:t>
      </w:r>
    </w:p>
    <w:p w14:paraId="74925A37">
      <w:pPr>
        <w:spacing w:before="0" w:after="120" w:line="300" w:lineRule="auto"/>
        <w:ind w:firstLine="360"/>
        <w:jc w:val="both"/>
      </w:pPr>
      <w:r>
        <w:rPr>
          <w:rFonts w:ascii="宋体" w:hAnsi="宋体" w:eastAsia="宋体"/>
          <w:color w:val="000000"/>
          <w:sz w:val="22"/>
        </w:rPr>
        <w:t>为此需要解决三个技术问题。第一，异构编码器在不同输入分辨率下生成不同的 Patch 网格；若不显式对齐，就无法组合空间上相对应的描述子。第二，两种特征空间具有不同的数值尺度和预训练偏置；未经校准的直接拼接可能使其中一个分支在距离度量中占据主导。第三，平均基准得分可能掩盖参考样本选择的不稳定性、类别特定的负迁移以及额外的推理成本。因此，一个可信的解决方案应当清晰规定对齐与归一化过程，在外部验证之前冻结所有融合决策，使用真正匹配的单编码器对照方法，并同时报告有效案例和不利案例。</w:t>
      </w:r>
    </w:p>
    <w:p w14:paraId="7C2876A1">
      <w:pPr>
        <w:spacing w:before="0" w:after="120" w:line="300" w:lineRule="auto"/>
        <w:ind w:firstLine="360"/>
        <w:jc w:val="both"/>
      </w:pPr>
      <w:r>
        <w:rPr>
          <w:rFonts w:ascii="宋体" w:hAnsi="宋体" w:eastAsia="宋体"/>
          <w:color w:val="000000"/>
          <w:sz w:val="22"/>
        </w:rPr>
        <w:t>基于上述考虑，本文提出 DCFnet，即一种面向仅正常样本少样本工业异常定位的双编码器校准融合网络。这里的“校准”是指确定性的空间校准和特征幅值校准，而不是可学习的门控网络。DCFnet 分别从冻结的 DINOv2 ViT-B/14，以及配置了 AnomalyCLIP DPAM 注意力改动的冻结 CLIP ViT-L/14@336 视觉编码器中提取 Patch 特征。由 CLIP 分支产生的 Patch 网格通过双线性插值调整到 DINOv2 网格；两个分支分别执行 L2 归一化，再按固定等比例缩放后拼接，最后对融合描述子再次归一化。随后，系统仅使用 K 张正常参考图像构建类别特定记忆库，并通过一近邻搜索得到异常分数。整个过程不使用文本嵌入、目标域异常样本、目标域微调或根据测试标签确定的决策规则。</w:t>
      </w:r>
    </w:p>
    <w:p w14:paraId="3B8B2517">
      <w:pPr>
        <w:spacing w:before="0" w:after="120" w:line="300" w:lineRule="auto"/>
        <w:ind w:firstLine="360"/>
        <w:jc w:val="both"/>
      </w:pPr>
      <w:r>
        <w:rPr>
          <w:rFonts w:ascii="宋体" w:hAnsi="宋体" w:eastAsia="宋体"/>
          <w:color w:val="000000"/>
          <w:sz w:val="22"/>
        </w:rPr>
        <w:t>在 1-shot、2-shot 和 4-shot 协议以及三个参考样本随机种子下，本文在四个工业数据集上评估冻结配置。与使用完全相同参考图像、记忆库构建方式、最近邻评分、后处理和评估程序的匹配 DINO-only 流程相比，DCFnet 在全部 36 个数据集级“随机种子—样本数”配置中均取得正向平均 Pixel-AP 增益。其数据集级平均增益在 MPDD、BTAD、VisA 和 MVTec AD 上分别为 0.0258、0.0249、0.0524 和 0.0320。本文有意对这些证据作出限定：部分缺陷类别表现出持续的负迁移，BTAD 并未在每一个图像级指标上获得提升，而且第二个编码器引入了不可忽略的时延。因此，本文不宣称方法具有普遍优越性，也不宣称达到当前最优性能。</w:t>
      </w:r>
    </w:p>
    <w:p w14:paraId="07A8E120">
      <w:pPr>
        <w:keepNext/>
        <w:spacing w:before="0" w:after="80" w:line="300" w:lineRule="auto"/>
        <w:jc w:val="both"/>
      </w:pPr>
      <w:r>
        <w:rPr>
          <w:rFonts w:ascii="宋体" w:hAnsi="宋体" w:eastAsia="宋体"/>
          <w:color w:val="000000"/>
          <w:sz w:val="22"/>
        </w:rPr>
        <w:t>本文的主要贡献概括如下：</w:t>
      </w:r>
    </w:p>
    <w:p w14:paraId="191CFA7D">
      <w:pPr>
        <w:pStyle w:val="16"/>
        <w:spacing w:after="80" w:line="290" w:lineRule="auto"/>
        <w:ind w:left="720" w:hanging="360"/>
      </w:pPr>
      <w:r>
        <w:rPr>
          <w:rFonts w:ascii="宋体" w:hAnsi="宋体" w:eastAsia="宋体"/>
          <w:color w:val="000000"/>
          <w:sz w:val="22"/>
        </w:rPr>
        <w:t>提出一种确定性的双编码器校准与融合流程：对异构 Patch 网格进行对齐，对两个分支的特征幅值进行均衡，并在不使用可学习融合模块、文本输入或目标域参数训练的情况下，融合冻结的 DINOv2 与 DPAM-modified CLIP 视觉特征。</w:t>
      </w:r>
    </w:p>
    <w:p w14:paraId="11A6F5E4">
      <w:pPr>
        <w:pStyle w:val="16"/>
        <w:spacing w:after="80" w:line="290" w:lineRule="auto"/>
        <w:ind w:left="720" w:hanging="360"/>
      </w:pPr>
      <w:r>
        <w:rPr>
          <w:rFonts w:ascii="宋体" w:hAnsi="宋体" w:eastAsia="宋体"/>
          <w:color w:val="000000"/>
          <w:sz w:val="22"/>
        </w:rPr>
        <w:t>设计一套匹配实验方案，在四个工业数据集、三个参考样本随机种子和三个样本数设置下，保持正常参考图像、最近邻评分、后处理及评估程序完全一致，从而单独考察第二种视觉表征的影响。</w:t>
      </w:r>
    </w:p>
    <w:p w14:paraId="103BBFE9">
      <w:pPr>
        <w:pStyle w:val="16"/>
        <w:spacing w:after="80" w:line="290" w:lineRule="auto"/>
        <w:ind w:left="720" w:hanging="360"/>
      </w:pPr>
      <w:r>
        <w:rPr>
          <w:rFonts w:ascii="宋体" w:hAnsi="宋体" w:eastAsia="宋体"/>
          <w:color w:val="000000"/>
          <w:sz w:val="22"/>
        </w:rPr>
        <w:t>建立面向可复现性和方法适用边界的评估协议：除整体指标外，还完整报告图像级与像素级证据、类别特定负迁移、计算成本、数据泄漏检查以及可重建的实验产物，而不是只呈现有利的汇总结果。</w:t>
      </w:r>
    </w:p>
    <w:p w14:paraId="68AD1F09">
      <w:pPr>
        <w:pStyle w:val="3"/>
        <w:keepNext/>
      </w:pPr>
      <w:r>
        <w:rPr>
          <w:rFonts w:ascii="微软雅黑" w:hAnsi="微软雅黑" w:eastAsia="微软雅黑"/>
          <w:b/>
          <w:color w:val="000000"/>
          <w:sz w:val="30"/>
        </w:rPr>
        <w:t>2. 相关工作</w:t>
      </w:r>
    </w:p>
    <w:p w14:paraId="7E776021">
      <w:pPr>
        <w:spacing w:before="0" w:after="120" w:line="300" w:lineRule="auto"/>
        <w:ind w:firstLine="360"/>
        <w:jc w:val="both"/>
      </w:pPr>
      <w:r>
        <w:rPr>
          <w:rFonts w:ascii="宋体" w:hAnsi="宋体" w:eastAsia="宋体"/>
          <w:color w:val="000000"/>
          <w:sz w:val="22"/>
        </w:rPr>
        <w:t>按照正常模式的表示方式，工业异常检测方法大体可以分为三类：重建或单类学习方法、基于预训练特征嵌入与正常记忆库的方法，以及基于基础模型或混合架构的方法。这些类别并非相互排斥，但该分类有助于说明各类方法的主要权衡。重建方法学习显式的正常图像生成模型，可以产生直观的残差图，但通常需要针对具体类别进行优化，而且可能将异常区域也重建得过于准确。特征嵌入与记忆库方法在推理阶段更加简单，通常能够准确定位缺陷，但其有效性高度依赖所选特征表征及参考样本的覆盖范围。基础模型与混合方法能够提升迁移能力或语义覆盖范围，但可能引入提示、辅助数据、可学习适配器或依赖特定实验协议的复杂机制。</w:t>
      </w:r>
    </w:p>
    <w:p w14:paraId="6B8D0F15">
      <w:pPr>
        <w:pStyle w:val="4"/>
        <w:keepNext/>
      </w:pPr>
      <w:r>
        <w:rPr>
          <w:rFonts w:ascii="微软雅黑" w:hAnsi="微软雅黑" w:eastAsia="微软雅黑"/>
          <w:b/>
          <w:color w:val="000000"/>
          <w:sz w:val="25"/>
        </w:rPr>
        <w:t>2.1 重建与单类学习</w:t>
      </w:r>
    </w:p>
    <w:p w14:paraId="17F639BC">
      <w:pPr>
        <w:spacing w:before="0" w:after="120" w:line="300" w:lineRule="auto"/>
        <w:ind w:firstLine="360"/>
        <w:jc w:val="both"/>
      </w:pPr>
      <w:r>
        <w:rPr>
          <w:rFonts w:ascii="宋体" w:hAnsi="宋体" w:eastAsia="宋体"/>
          <w:color w:val="000000"/>
          <w:sz w:val="22"/>
        </w:rPr>
        <w:t>早期视觉检测系统依赖人工设计的纹理、边缘、形态学和统计描述子，随后使用传统分类器或阈值进行判断。当成像条件和缺陷定义稳定时，这类流程具有较高效率，但任务特定的人工特征难以泛化到新材料、新光照条件或此前未见的缺陷形态。深度重建方法使用在正常图像上训练的自编码器、生成模型和师生网络替代人工描述子。其核心假设是：在正常模式上拟合的模型能够准确重建或预测正常区域，而对异常内容产生更大的残差。该假设能够自然地产生异常图，但高容量网络也可能成功重建缺陷，而且通常需要针对每个目标类别单独优化。</w:t>
      </w:r>
    </w:p>
    <w:p w14:paraId="27182295">
      <w:pPr>
        <w:spacing w:before="0" w:after="120" w:line="300" w:lineRule="auto"/>
        <w:ind w:firstLine="360"/>
        <w:jc w:val="both"/>
      </w:pPr>
      <w:r>
        <w:rPr>
          <w:rFonts w:ascii="宋体" w:hAnsi="宋体" w:eastAsia="宋体"/>
          <w:color w:val="000000"/>
          <w:sz w:val="22"/>
        </w:rPr>
        <w:t>近期的期刊研究仍在持续改进这一方法族，而非将其视为过时路线。SLSG 通过生成式预训练、异常模拟和图推理改进特征嵌入与单类分类 [13]。RealNet 利用逼真的合成异常与特征选择学习缺陷敏感表征 [14]。DFD 将图像分解为不同频率成分，并训练双判别器，以揭示在空间域中可能不明显的细微异常 [15]。DMMGNet 将特征判别映射、数据增强和记忆库均值引导结合起来，用于少样本训练 [16]。这些方法增强了类别特定的判别能力，但其可学习组件与合成异常假设不同于本文所研究的“零训练正常参考”设置。它们的共同优势是能够适应特定缺陷统计规律；共同局限则在于，当新产品只有少量经过验证的正常样本时，重新训练或优化会增加快速部署的难度。</w:t>
      </w:r>
    </w:p>
    <w:p w14:paraId="48D4BF19">
      <w:pPr>
        <w:pStyle w:val="4"/>
        <w:keepNext/>
      </w:pPr>
      <w:r>
        <w:rPr>
          <w:rFonts w:ascii="微软雅黑" w:hAnsi="微软雅黑" w:eastAsia="微软雅黑"/>
          <w:b/>
          <w:color w:val="000000"/>
          <w:sz w:val="25"/>
        </w:rPr>
        <w:t>2.2 特征嵌入与正常记忆库方法</w:t>
      </w:r>
    </w:p>
    <w:p w14:paraId="7B379BB8">
      <w:pPr>
        <w:spacing w:before="0" w:after="120" w:line="300" w:lineRule="auto"/>
        <w:ind w:firstLine="360"/>
        <w:jc w:val="both"/>
      </w:pPr>
      <w:r>
        <w:rPr>
          <w:rFonts w:ascii="宋体" w:hAnsi="宋体" w:eastAsia="宋体"/>
          <w:color w:val="000000"/>
          <w:sz w:val="22"/>
        </w:rPr>
        <w:t>基于嵌入的方法不进行图像重建，而是在预训练特征空间中度量偏差。PaDiM 使用多元高斯统计对正常 Patch 嵌入分布建模 [17]。PatchCore 存储正常局部特征的核心集，并利用最近邻距离对查询 Patch 进行评分，证明了简单记忆库也能够实现较强的异常定位性能 [5]。该范式非常适用于仅正常样本检测，因为它既不需要缺陷标签，也不假设封闭的异常类别集合。它的弱点同样直接：当正常参考图像很少时，记忆库可能无法充分覆盖可接受的正常外观变化，而且距离度量的有效性受到底层特征表征质量的直接限制。</w:t>
      </w:r>
    </w:p>
    <w:p w14:paraId="0043A18E">
      <w:pPr>
        <w:spacing w:before="0" w:after="120" w:line="300" w:lineRule="auto"/>
        <w:ind w:firstLine="360"/>
        <w:jc w:val="both"/>
      </w:pPr>
      <w:r>
        <w:rPr>
          <w:rFonts w:ascii="宋体" w:hAnsi="宋体" w:eastAsia="宋体"/>
          <w:color w:val="000000"/>
          <w:sz w:val="22"/>
        </w:rPr>
        <w:t>因此，少样本研究主要围绕扩展正常模式覆盖范围或改进表征质量展开。FEAD 对支持集特征进行条件变换，并构建多频描述子，以补偿稀疏的正常模式 [18]。K-NG 框架将问题表述为少样本在线检测，在尝试避免异常污染的同时，从无标签数据流更新 Neural Gas 表征 [19]。PGAD 融合全局不变特征和多尺度局部特征，并显式校准分布不同的异常分数 [20]。FastRef 在测试阶段细化正常原型，并使用最优传输降低错误吸收异常查询特征的风险 [21]。这些方法分别通过特征变换、在线更新、多尺度建模或传导式细化来缓解参考数据不足。DCFnet 则保持正常记忆库固定，并研究在不进行查询条件自适应的情况下，第二种冻结视觉表征能否带来可复现的增益。</w:t>
      </w:r>
    </w:p>
    <w:p w14:paraId="30CB63AD">
      <w:pPr>
        <w:pStyle w:val="4"/>
        <w:keepNext/>
      </w:pPr>
      <w:r>
        <w:rPr>
          <w:rFonts w:ascii="微软雅黑" w:hAnsi="微软雅黑" w:eastAsia="微软雅黑"/>
          <w:b/>
          <w:color w:val="000000"/>
          <w:sz w:val="25"/>
        </w:rPr>
        <w:t>2.3 面向少样本异常检测的基础模型</w:t>
      </w:r>
    </w:p>
    <w:p w14:paraId="647E944C">
      <w:pPr>
        <w:spacing w:before="0" w:after="120" w:line="300" w:lineRule="auto"/>
        <w:ind w:firstLine="360"/>
        <w:jc w:val="both"/>
      </w:pPr>
      <w:r>
        <w:rPr>
          <w:rFonts w:ascii="宋体" w:hAnsi="宋体" w:eastAsia="宋体"/>
          <w:color w:val="000000"/>
          <w:sz w:val="22"/>
        </w:rPr>
        <w:t>自监督视觉基础模型显著提升了可迁移局部描述子的质量。DINOv2 在无标签条件下学习稳健视觉特征，并</w:t>
      </w:r>
      <w:bookmarkStart w:id="0" w:name="_GoBack"/>
      <w:bookmarkEnd w:id="0"/>
      <w:r>
        <w:rPr>
          <w:rFonts w:ascii="宋体" w:hAnsi="宋体" w:eastAsia="宋体"/>
          <w:color w:val="000000"/>
          <w:sz w:val="22"/>
        </w:rPr>
        <w:t>在识别与密集预测任务中表现出良好的迁移能力 [6]。AnomalyDINO 将冻结的 DINOv2 Patch 用于少样本异常检测，表明直接进行 Patch 比较已经具有很强的竞争力 [7]。UniVAD 提出一种无需训练的统一模型，利用参考图像处理工业异常、逻辑异常和医学异常 [22]。SubspaceAD 在冻结的 DINOv2 Patch 上拟合主子空间，并通过重建残差进行评分，为直接最近邻记忆库提供了强大的免训练替代方案 [23]。DCP-SFR 指出深层结构表征可能抑制浅层缺陷线索，并对其进行细化以保留细微异常 [24]。总体而言，这些研究表明，特征选择、正常空间建模和缺陷线索保持的重要性可能不亚于下游异常评分器。它们也建立了具有较高挑战性的纯视觉基线，融合方法必须在此基础上接受检验。</w:t>
      </w:r>
    </w:p>
    <w:p w14:paraId="01B00EA5">
      <w:pPr>
        <w:spacing w:before="0" w:after="120" w:line="300" w:lineRule="auto"/>
        <w:ind w:firstLine="360"/>
        <w:jc w:val="both"/>
      </w:pPr>
      <w:r>
        <w:rPr>
          <w:rFonts w:ascii="宋体" w:hAnsi="宋体" w:eastAsia="宋体"/>
          <w:color w:val="000000"/>
          <w:sz w:val="22"/>
        </w:rPr>
        <w:t>视觉—语言预训练提供了另一种迁移途径。CLIP 通过大规模图像—文本监督学习对齐的图像和文本嵌入 [8]。WinCLIP 使用提示集成</w:t>
      </w:r>
      <w:r>
        <w:rPr>
          <w:rFonts w:hint="eastAsia" w:ascii="宋体" w:hAnsi="宋体" w:eastAsia="宋体"/>
          <w:color w:val="000000"/>
          <w:sz w:val="22"/>
          <w:lang w:val="en-US" w:eastAsia="zh-CN"/>
        </w:rPr>
        <w:t xml:space="preserve"> </w:t>
      </w:r>
      <w:r>
        <w:rPr>
          <w:rFonts w:ascii="宋体" w:hAnsi="宋体" w:eastAsia="宋体"/>
          <w:color w:val="000000"/>
          <w:sz w:val="22"/>
        </w:rPr>
        <w:t>、窗口级视觉特征以及可选的正常参考图像，实现零样本和少样本异常分类与分割 [9]。AnomalyCLIP 使用针对正常和异常学习得到的、与具体物体无关的提示替代类别特定描述 [10]；PromptAD 则仅使用目标域正常样本学习提示 [11]。InCTRL 利用少样本提示执行上下文残差学习 [25]。AA-CLIP 引入异常感知文本锚点和 Patch 级视觉对齐 [26]，FAPrompt 则将粗粒度异常描述分解为细粒度提示组件 [27]。这些方法提高了语义迁移能力，但其中多数仍保留文本条件评分或可学习提示参数。DCFnet 在推理阶段仅使用冻结的 DPAM-modified CLIP 图像编码器，因此它属于双视觉编码器方法，而不是视觉—文本推理系统。</w:t>
      </w:r>
    </w:p>
    <w:p w14:paraId="4728D7AA">
      <w:pPr>
        <w:pStyle w:val="4"/>
        <w:keepNext/>
      </w:pPr>
      <w:r>
        <w:rPr>
          <w:rFonts w:ascii="微软雅黑" w:hAnsi="微软雅黑" w:eastAsia="微软雅黑"/>
          <w:b/>
          <w:color w:val="000000"/>
          <w:sz w:val="25"/>
        </w:rPr>
        <w:t>2.4 混合融合方法及本文工作的定位</w:t>
      </w:r>
    </w:p>
    <w:p w14:paraId="46AE5223">
      <w:pPr>
        <w:spacing w:before="0" w:after="120" w:line="300" w:lineRule="auto"/>
        <w:ind w:firstLine="360"/>
        <w:jc w:val="both"/>
      </w:pPr>
      <w:r>
        <w:rPr>
          <w:rFonts w:ascii="宋体" w:hAnsi="宋体" w:eastAsia="宋体"/>
          <w:color w:val="000000"/>
          <w:sz w:val="22"/>
        </w:rPr>
        <w:t>近期混合方法与本文工作最为接近。ReMP-AD 将检索增强的正常参考样本与多模态提示融合相结合 [28]。一种多模态协同细化框架联合优化文本提示、空间特征、频率特征以及决策级融合 [29]。Sea-CLIP 通过可训练提示、合成异常和可学习匹配解码器融合 CLIP 与 DINOv2 [12]。PAPL 通过提示分布学习和自适应池化整合 CLIP 与 DINO 系列的层次化特征 [30]；另一种 CLIP-DINOv2 框架则使用经过训练的双模态注意力与稳定化池化实现零样本迁移 [31]。Real-IAD 进一步说明了为什么此类方法需要在小规模或可能趋于饱和的数据集之外接受检验：该数据集规模更大、包含多视角信息，并覆盖更广泛的真实工业变化 [32]。</w:t>
      </w:r>
    </w:p>
    <w:p w14:paraId="7F443131">
      <w:pPr>
        <w:spacing w:before="0" w:after="120" w:line="300" w:lineRule="auto"/>
        <w:ind w:firstLine="360"/>
        <w:jc w:val="both"/>
      </w:pPr>
      <w:r>
        <w:rPr>
          <w:rFonts w:ascii="宋体" w:hAnsi="宋体" w:eastAsia="宋体"/>
          <w:color w:val="000000"/>
          <w:sz w:val="22"/>
        </w:rPr>
        <w:t>综上，现有文献同时证明了特征融合的潜力与其归因上的模糊性。可学习的混合系统可能取得很强的性能，但它们将编码器互补性与提示优化、合成数据、注意力模块或测试时自适应的作用混合在一起。相反，固定组合方法易于审计，但可能受到空间错位、特征幅值不兼容和负迁移的影响。本文研究的正是这一尚未充分解决的中间区域。本文不声称首次联合使用 CLIP 与 DINO 系列表征，而是提出一套确定性的空间—幅值校准流程，并在其他条件完全匹配的正常记忆检测器中，单独分析增加第二种冻结图像表征所产生的影响。这一研究定位也使得参考样本随机种子稳定性、类别级失败案例及计算成本成为主要证据，而不是附带观察结果。</w:t>
      </w:r>
    </w:p>
    <w:p w14:paraId="23470BBB">
      <w:pPr>
        <w:pStyle w:val="3"/>
        <w:keepNext/>
      </w:pPr>
      <w:r>
        <w:rPr>
          <w:rFonts w:ascii="微软雅黑" w:hAnsi="微软雅黑" w:eastAsia="微软雅黑"/>
          <w:b/>
          <w:color w:val="000000"/>
          <w:sz w:val="30"/>
        </w:rPr>
        <w:t>3. DCFnet 详细方法</w:t>
      </w:r>
    </w:p>
    <w:p w14:paraId="43928733">
      <w:pPr>
        <w:pStyle w:val="4"/>
        <w:keepNext/>
      </w:pPr>
      <w:r>
        <w:rPr>
          <w:rFonts w:ascii="微软雅黑" w:hAnsi="微软雅黑" w:eastAsia="微软雅黑"/>
          <w:b/>
          <w:color w:val="000000"/>
          <w:sz w:val="25"/>
        </w:rPr>
        <w:t>3.1 问题定义</w:t>
      </w:r>
    </w:p>
    <w:p w14:paraId="682DDDC9">
      <w:pPr>
        <w:spacing w:before="0" w:after="120" w:line="300" w:lineRule="auto"/>
        <w:ind w:firstLine="360"/>
        <w:jc w:val="both"/>
      </w:pPr>
      <w:r>
        <w:rPr>
          <w:rFonts w:ascii="宋体" w:hAnsi="宋体" w:eastAsia="宋体"/>
          <w:color w:val="000000"/>
          <w:sz w:val="22"/>
        </w:rPr>
        <w:t>设 c 表示一个工业产品类别，R_c = {x_1^c, ..., x_K^c} 表示由 K 张经确认正常的图像组成的支持集，其中 K ∈ {1, 2, 4}。在拟合检测器时，不使用任何目标域异常图像。给定查询图像 x，目标是估计一个大小为 448 × 448 的非负评估图 S_448(x)，以及一个非负图像级异常分数 s_img(x)。数值越大，应当表示相对于 R_c 所表征正常外观的偏离程度越大。该方法执行正常与异常的二元检测及空间定位，但不预测诸如划痕、裂纹、孔洞或污渍等封闭缺陷类别。像素掩码和图像标签仅用于评估，绝不参与特征融合、记忆库构建、阈值选择或参考样本抽取。</w:t>
      </w:r>
    </w:p>
    <w:p w14:paraId="4084E2B9">
      <w:pPr>
        <w:spacing w:before="0" w:after="120" w:line="300" w:lineRule="auto"/>
        <w:ind w:firstLine="360"/>
        <w:jc w:val="both"/>
      </w:pPr>
      <w:r>
        <w:rPr>
          <w:rFonts w:ascii="宋体" w:hAnsi="宋体" w:eastAsia="宋体"/>
          <w:color w:val="000000"/>
          <w:sz w:val="22"/>
        </w:rPr>
        <w:t>对于查询图像中的像素 u，令 y_u ∈ {0, 1} 表示仅用于评估的真实状态。期望的评分函数应尽可能频繁地将异常像素排在正常像素之前，同时仍能适用于此前未见的缺陷类型。由于无法从 R_c 中估计完备的异常分布，DCFnet 对正常模式进行建模，而不是学习显式的多类别决策边界。DCFnet 与匹配的 DINO-only 对照方法使用完全相同的类别特定支持集，因此二者之间的差异可以归因于新增的冻结表征及其校准路径。</w:t>
      </w:r>
    </w:p>
    <w:p w14:paraId="4E2261E4">
      <w:pPr>
        <w:pStyle w:val="4"/>
        <w:keepNext/>
      </w:pPr>
      <w:r>
        <w:rPr>
          <w:rFonts w:ascii="微软雅黑" w:hAnsi="微软雅黑" w:eastAsia="微软雅黑"/>
          <w:b/>
          <w:color w:val="000000"/>
          <w:sz w:val="25"/>
        </w:rPr>
        <w:t>3.2 总体结构</w:t>
      </w:r>
    </w:p>
    <w:p w14:paraId="17C547F6">
      <w:pPr>
        <w:spacing w:before="0" w:after="120" w:line="300" w:lineRule="auto"/>
        <w:ind w:firstLine="360"/>
        <w:jc w:val="both"/>
      </w:pPr>
      <w:r>
        <w:rPr>
          <w:rFonts w:ascii="宋体" w:hAnsi="宋体" w:eastAsia="宋体"/>
          <w:color w:val="000000"/>
          <w:sz w:val="22"/>
        </w:rPr>
        <w:t>DCFnet 包含四个确定性阶段：冻结双编码器特征提取、跨编码器空间校准、分支级幅值校准与固定融合，以及基于最近邻的正常记忆库评分。支持集路径和查询路径共享相同的特征提取器，但承担不同作用。支持图像仅用于一次性填充类别特定记忆库，查询图像不会被写入该记忆库。每个查询 Patch 都与固定支持记忆库进行比较；所得 Patch 分数先通过双线性插值上采样，再进行高斯平滑，从而获得像素级异常图。图 1 明确展示了支持路径与查询路径之间的区分。</w:t>
      </w:r>
    </w:p>
    <w:p w14:paraId="267F56EA">
      <w:pPr>
        <w:keepNext/>
        <w:spacing w:before="160" w:after="80"/>
        <w:jc w:val="center"/>
      </w:pPr>
      <w:r>
        <w:drawing>
          <wp:inline distT="0" distB="0" distL="114300" distR="114300">
            <wp:extent cx="5897880" cy="3009265"/>
            <wp:effectExtent l="0" t="0" r="7620" b="635"/>
            <wp:docPr id="1" name="Picture 1" descr="DCFnet 双路径工作流程：正常支持图像构建固定类别记忆库，查询图像经冻结的 DINOv2 与 DPAM-modified CLIP 视觉编码器处理后，通过精确最近邻搜索得到异常分数。" title="DCFnet 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CFnet 双路径工作流程：正常支持图像构建固定类别记忆库，查询图像经冻结的 DINOv2 与 DPAM-modified CLIP 视觉编码器处理后，通过精确最近邻搜索得到异常分数。" title="DCFnet 总体架构"/>
                    <pic:cNvPicPr>
                      <a:picLocks noChangeAspect="1"/>
                    </pic:cNvPicPr>
                  </pic:nvPicPr>
                  <pic:blipFill>
                    <a:blip r:embed="rId8"/>
                    <a:stretch>
                      <a:fillRect/>
                    </a:stretch>
                  </pic:blipFill>
                  <pic:spPr>
                    <a:xfrm>
                      <a:off x="0" y="0"/>
                      <a:ext cx="5897880" cy="3009397"/>
                    </a:xfrm>
                    <a:prstGeom prst="rect">
                      <a:avLst/>
                    </a:prstGeom>
                  </pic:spPr>
                </pic:pic>
              </a:graphicData>
            </a:graphic>
          </wp:inline>
        </w:drawing>
      </w:r>
    </w:p>
    <w:p w14:paraId="6327C701">
      <w:pPr>
        <w:pStyle w:val="164"/>
        <w:keepNext/>
        <w:keepLines/>
      </w:pPr>
      <w:r>
        <w:rPr>
          <w:rFonts w:ascii="宋体" w:hAnsi="宋体" w:eastAsia="宋体"/>
          <w:color w:val="000000"/>
          <w:sz w:val="18"/>
        </w:rPr>
        <w:t>图 1. DCFnet 的总体工作流程。正常支持图像用于构建固定的类别记忆库，而查询图像采用独立的推理路径。两条路径共享冻结双编码器特征提取、CLIP 到 DINO 的空间对齐、分支级幅值归一化、固定等比例缩放拼接以及全局归一化。查询 Patch 与固定记忆库进行比较，随后经双线性上采样和高斯平滑生成最终异常图。</w:t>
      </w:r>
    </w:p>
    <w:p w14:paraId="08899695">
      <w:pPr>
        <w:pStyle w:val="4"/>
        <w:keepNext/>
      </w:pPr>
      <w:r>
        <w:rPr>
          <w:rFonts w:ascii="微软雅黑" w:hAnsi="微软雅黑" w:eastAsia="微软雅黑"/>
          <w:b/>
          <w:color w:val="000000"/>
          <w:sz w:val="25"/>
        </w:rPr>
        <w:t>3.3 冻结的双编码器视觉表征</w:t>
      </w:r>
    </w:p>
    <w:p w14:paraId="624780CE">
      <w:pPr>
        <w:spacing w:before="0" w:after="120" w:line="300" w:lineRule="auto"/>
        <w:ind w:firstLine="360"/>
        <w:jc w:val="both"/>
      </w:pPr>
      <w:r>
        <w:rPr>
          <w:rFonts w:ascii="宋体" w:hAnsi="宋体" w:eastAsia="宋体"/>
          <w:color w:val="000000"/>
          <w:sz w:val="22"/>
        </w:rPr>
        <w:t>第一个分支是冻结的 DINOv2 ViT-B/14 编码器 [6]。输入图像按照固定流程进行缩放，目标短边分辨率为 448 像素，随后裁剪，使两个空间维度均能被 Patch 大小 14 整除。所得网格记为 h_D × w_D，其较短边包含 32 个 Patch，每个 Patch 描述子的维度 d_D = 768。选择 DINOv2 的原因是，其自监督目标能够产生具有迁移能力的密集视觉描述子，而且基于 DINO 的 Patch 比较已被证明是一个强少样本基线 [7]。该分支不在四个目标数据集中的任何一个上进行微调。</w:t>
      </w:r>
    </w:p>
    <w:p w14:paraId="05C8EF31">
      <w:pPr>
        <w:spacing w:before="0" w:after="120" w:line="300" w:lineRule="auto"/>
        <w:ind w:firstLine="360"/>
        <w:jc w:val="both"/>
      </w:pPr>
      <w:r>
        <w:rPr>
          <w:rFonts w:ascii="宋体" w:hAnsi="宋体" w:eastAsia="宋体"/>
          <w:color w:val="000000"/>
          <w:sz w:val="22"/>
        </w:rPr>
        <w:t>第二个分支是配置了 AnomalyCLIP 对角显著注意力图（DPAM）改动的冻结 CLIP ViT-L/14@336 视觉编码器 [10]。该分支接收 518 × 518 的输入，并生成 37 × 37 的局部特征网格，每个局部描述子为 768 维。特征提取器请求视觉网络第 6、12、18 和 24 层的输出，同时将 DPAM_layer 设为 20；实际保留最后返回的 Patch 张量，即第 24 层对应的张量。系统只保留图像特征。在 DCFnet 推理过程中，不计算文本提示、文本编码器输出、正常—异常语言相似度或动态视觉—语言路由。使用这一分支，是为了检验经过固定 DPAM 注意力路径处理的 CLIP 预训练局部描述子，能否为自监督 DINOv2 描述子提供互补信息。该动机并不预设这种互补性在每个类别上都成立；其是否成立由实验评估，而不是作为方法的先验假设。</w:t>
      </w:r>
    </w:p>
    <w:p w14:paraId="67373368">
      <w:pPr>
        <w:pStyle w:val="4"/>
        <w:keepNext/>
      </w:pPr>
      <w:r>
        <w:rPr>
          <w:rFonts w:ascii="微软雅黑" w:hAnsi="微软雅黑" w:eastAsia="微软雅黑"/>
          <w:b/>
          <w:color w:val="000000"/>
          <w:sz w:val="25"/>
        </w:rPr>
        <w:t>3.4 空间校准与固定特征融合</w:t>
      </w:r>
    </w:p>
    <w:p w14:paraId="3B280BB1">
      <w:pPr>
        <w:spacing w:before="0" w:after="120" w:line="300" w:lineRule="auto"/>
        <w:ind w:firstLine="360"/>
        <w:jc w:val="both"/>
      </w:pPr>
      <w:r>
        <w:rPr>
          <w:rFonts w:ascii="宋体" w:hAnsi="宋体" w:eastAsia="宋体"/>
          <w:color w:val="000000"/>
          <w:sz w:val="22"/>
        </w:rPr>
        <w:t>令 F_D(x) 和 F_C(x) 分别表示 DINOv2 与 DPAM-modified CLIP 分支产生的 768 维 Patch 张量，其网格大小分别为 h_D × w_D 和 h_C × w_C。由于两个网格的大小不同，不能直接进行拼接。因此，本文对 F_C(x) 应用双线性网格缩放算子 R(·)，并将 align_corners 设为 false，从而在 h_D × w_D 网格上得到 F_{C→D}(x) = R(F_C(x))。这种空间校准以 DINO 网格作为参考点阵，并在两个分支的 Patch 中心不完全重合时，避免采用离散的最近单元分配。</w:t>
      </w:r>
    </w:p>
    <w:p w14:paraId="1051F4BA">
      <w:pPr>
        <w:spacing w:before="0" w:after="120" w:line="300" w:lineRule="auto"/>
        <w:ind w:firstLine="360"/>
        <w:jc w:val="both"/>
      </w:pPr>
      <w:r>
        <w:rPr>
          <w:rFonts w:ascii="宋体" w:hAnsi="宋体" w:eastAsia="宋体"/>
          <w:color w:val="000000"/>
          <w:sz w:val="22"/>
        </w:rPr>
        <w:t>空间对齐并不能消除特征幅值的差异。对于每一个 Patch p，两个分支首先分别进行 L2 归一化；随后使用固定的 α = 0.5 拼接经过校准的分支，并再次进行归一化：</w:t>
      </w:r>
    </w:p>
    <w:p w14:paraId="6A291EB5">
      <w:pPr>
        <w:spacing w:before="100" w:after="140"/>
        <w:jc w:val="center"/>
      </w:pPr>
      <m:oMathPara>
        <m:oMath>
          <m:sSub>
            <m:sSubPr/>
            <m:e>
              <m:r>
                <m:rPr/>
                <m:t>g</m:t>
              </m:r>
            </m:e>
            <m:sub>
              <m:r>
                <m:rPr/>
                <m:t>D,p</m:t>
              </m:r>
            </m:sub>
          </m:sSub>
          <m:r>
            <m:rPr/>
            <m:t>=</m:t>
          </m:r>
          <m:sSub>
            <m:sSubPr/>
            <m:e>
              <m:r>
                <m:rPr/>
                <m:t>f</m:t>
              </m:r>
            </m:e>
            <m:sub>
              <m:r>
                <m:rPr/>
                <m:t>D,p</m:t>
              </m:r>
            </m:sub>
          </m:sSub>
          <m:r>
            <m:rPr/>
            <m:t>/ max(‖</m:t>
          </m:r>
          <m:sSub>
            <m:sSubPr/>
            <m:e>
              <m:r>
                <m:rPr/>
                <m:t>f</m:t>
              </m:r>
            </m:e>
            <m:sub>
              <m:r>
                <m:rPr/>
                <m:t>D,p</m:t>
              </m:r>
            </m:sub>
          </m:sSub>
          <m:sSub>
            <m:sSubPr/>
            <m:e>
              <m:r>
                <m:rPr/>
                <m:t>‖</m:t>
              </m:r>
            </m:e>
            <m:sub>
              <m:r>
                <m:rPr/>
                <m:t>2</m:t>
              </m:r>
            </m:sub>
          </m:sSub>
          <m:r>
            <m:rPr/>
            <m:t>, ε),</m:t>
          </m:r>
          <m:sSub>
            <m:sSubPr/>
            <m:e>
              <m:r>
                <m:rPr/>
                <m:t>g</m:t>
              </m:r>
            </m:e>
            <m:sub>
              <m:r>
                <m:rPr/>
                <m:t>C,p</m:t>
              </m:r>
            </m:sub>
          </m:sSub>
          <m:r>
            <m:rPr/>
            <m:t>=</m:t>
          </m:r>
          <m:sSub>
            <m:sSubPr/>
            <m:e>
              <m:r>
                <m:rPr/>
                <m:t>f</m:t>
              </m:r>
            </m:e>
            <m:sub>
              <m:r>
                <m:rPr/>
                <m:t>C→D,p</m:t>
              </m:r>
            </m:sub>
          </m:sSub>
          <m:r>
            <m:rPr/>
            <m:t>/ max(‖</m:t>
          </m:r>
          <m:sSub>
            <m:sSubPr/>
            <m:e>
              <m:r>
                <m:rPr/>
                <m:t>f</m:t>
              </m:r>
            </m:e>
            <m:sub>
              <m:r>
                <m:rPr/>
                <m:t>C→D,p</m:t>
              </m:r>
            </m:sub>
          </m:sSub>
          <m:sSub>
            <m:sSubPr/>
            <m:e>
              <m:r>
                <m:rPr/>
                <m:t>‖</m:t>
              </m:r>
            </m:e>
            <m:sub>
              <m:r>
                <m:rPr/>
                <m:t>2</m:t>
              </m:r>
            </m:sub>
          </m:sSub>
          <m:r>
            <m:rPr/>
            <m:t>, ε).</m:t>
          </m:r>
        </m:oMath>
      </m:oMathPara>
    </w:p>
    <w:p w14:paraId="1E2D8377">
      <w:pPr>
        <w:spacing w:before="100" w:after="140"/>
        <w:jc w:val="center"/>
      </w:pPr>
      <m:oMathPara>
        <m:oMath>
          <m:sSub>
            <m:sSubPr/>
            <m:e>
              <m:r>
                <m:rPr/>
                <m:t>f</m:t>
              </m:r>
            </m:e>
            <m:sub>
              <m:r>
                <m:rPr/>
                <m:t>A,p</m:t>
              </m:r>
            </m:sub>
          </m:sSub>
          <m:r>
            <m:rPr/>
            <m:t>= Norm([α</m:t>
          </m:r>
          <m:sSub>
            <m:sSubPr/>
            <m:e>
              <m:r>
                <m:rPr/>
                <m:t>g</m:t>
              </m:r>
            </m:e>
            <m:sub>
              <m:r>
                <m:rPr/>
                <m:t>D,p</m:t>
              </m:r>
            </m:sub>
          </m:sSub>
          <m:r>
            <m:rPr/>
            <m:t>; (1 − α)</m:t>
          </m:r>
          <m:sSub>
            <m:sSubPr/>
            <m:e>
              <m:r>
                <m:rPr/>
                <m:t>g</m:t>
              </m:r>
            </m:e>
            <m:sub>
              <m:r>
                <m:rPr/>
                <m:t>C,p</m:t>
              </m:r>
            </m:sub>
          </m:sSub>
          <m:r>
            <m:rPr/>
            <m:t>]),    α = 0.5,    dim(</m:t>
          </m:r>
          <m:sSub>
            <m:sSubPr/>
            <m:e>
              <m:r>
                <m:rPr/>
                <m:t>f</m:t>
              </m:r>
            </m:e>
            <m:sub>
              <m:r>
                <m:rPr/>
                <m:t>A,p</m:t>
              </m:r>
            </m:sub>
          </m:sSub>
          <m:r>
            <m:rPr/>
            <m:t>) = 1536.</m:t>
          </m:r>
        </m:oMath>
      </m:oMathPara>
    </w:p>
    <w:p w14:paraId="0F3B828C">
      <w:pPr>
        <w:spacing w:before="0" w:after="120" w:line="300" w:lineRule="auto"/>
        <w:ind w:firstLine="360"/>
        <w:jc w:val="both"/>
      </w:pPr>
      <w:r>
        <w:rPr>
          <w:rFonts w:ascii="宋体" w:hAnsi="宋体" w:eastAsia="宋体"/>
          <w:color w:val="000000"/>
          <w:sz w:val="22"/>
        </w:rPr>
        <w:t>两个相等系数是冻结的实验协议常数，而不是可学习门控。由于完整拼接向量还会再次归一化，因此该构造应理解为在联合距离计算之前对两个分支进行等比例缩放，而不是对两个异常分数进行概率意义上的平均。该操作在每个 DINO 网格位置生成一个 1536 维描述子。因此，本文中“校准融合”的含义明确且有限：在固定特征拼接之前执行分辨率对齐以及分支级特征幅值归一化。</w:t>
      </w:r>
    </w:p>
    <w:p w14:paraId="5B921A64">
      <w:pPr>
        <w:pStyle w:val="4"/>
        <w:keepNext/>
      </w:pPr>
      <w:r>
        <w:rPr>
          <w:rFonts w:ascii="微软雅黑" w:hAnsi="微软雅黑" w:eastAsia="微软雅黑"/>
          <w:b/>
          <w:color w:val="000000"/>
          <w:sz w:val="25"/>
        </w:rPr>
        <w:t>3.5 正常参考记忆库与异常评分</w:t>
      </w:r>
    </w:p>
    <w:p w14:paraId="1DC59C6A">
      <w:pPr>
        <w:spacing w:before="0" w:after="120" w:line="300" w:lineRule="auto"/>
        <w:ind w:firstLine="360"/>
        <w:jc w:val="both"/>
      </w:pPr>
      <w:r>
        <w:rPr>
          <w:rFonts w:ascii="宋体" w:hAnsi="宋体" w:eastAsia="宋体"/>
          <w:color w:val="000000"/>
          <w:sz w:val="22"/>
        </w:rPr>
        <w:t>对于类别 c，融合后的正常记忆库由其 K 张支持图像中提取的全部校准 Patch 描述子的并集构成：</w:t>
      </w:r>
    </w:p>
    <w:p w14:paraId="1F398851">
      <w:pPr>
        <w:spacing w:before="100" w:after="140"/>
        <w:jc w:val="center"/>
      </w:pPr>
      <m:oMathPara>
        <m:oMath>
          <m:sSub>
            <m:sSubPr/>
            <m:e>
              <m:r>
                <m:rPr/>
                <m:t>M</m:t>
              </m:r>
            </m:e>
            <m:sub>
              <m:r>
                <m:rPr/>
                <m:t>c</m:t>
              </m:r>
            </m:sub>
          </m:sSub>
          <m:r>
            <m:rPr/>
            <m:t>=</m:t>
          </m:r>
          <m:sSubSup>
            <m:sSubSupPr/>
            <m:e>
              <m:r>
                <m:rPr/>
                <m:t>⋃</m:t>
              </m:r>
            </m:e>
            <m:sub>
              <m:r>
                <m:rPr/>
                <m:t>i=1</m:t>
              </m:r>
            </m:sub>
            <m:sup>
              <m:r>
                <m:rPr/>
                <m:t>K</m:t>
              </m:r>
            </m:sup>
          </m:sSubSup>
          <m:r>
            <m:rPr/>
            <m:t>{</m:t>
          </m:r>
          <m:sSub>
            <m:sSubPr/>
            <m:e>
              <m:r>
                <m:rPr/>
                <m:t>f</m:t>
              </m:r>
            </m:e>
            <m:sub>
              <m:r>
                <m:rPr/>
                <m:t>A,p</m:t>
              </m:r>
            </m:sub>
          </m:sSub>
          <m:r>
            <m:rPr/>
            <m:t>(</m:t>
          </m:r>
          <m:sSubSup>
            <m:sSubSupPr/>
            <m:e>
              <m:r>
                <m:rPr/>
                <m:t>x</m:t>
              </m:r>
            </m:e>
            <m:sub>
              <m:r>
                <m:rPr/>
                <m:t>i</m:t>
              </m:r>
            </m:sub>
            <m:sup>
              <m:r>
                <m:rPr/>
                <m:t>c</m:t>
              </m:r>
            </m:sup>
          </m:sSubSup>
          <m:r>
            <m:rPr/>
            <m:t>) | p ∈</m:t>
          </m:r>
          <m:sSub>
            <m:sSubPr/>
            <m:e>
              <m:r>
                <m:rPr/>
                <m:t>G</m:t>
              </m:r>
            </m:e>
            <m:sub>
              <m:r>
                <m:rPr/>
                <m:t>D</m:t>
              </m:r>
            </m:sub>
          </m:sSub>
          <m:r>
            <m:rPr/>
            <m:t>}.</m:t>
          </m:r>
        </m:oMath>
      </m:oMathPara>
    </w:p>
    <w:p w14:paraId="6B305038">
      <w:pPr>
        <w:spacing w:before="0" w:after="120" w:line="300" w:lineRule="auto"/>
        <w:ind w:firstLine="360"/>
        <w:jc w:val="both"/>
      </w:pPr>
      <w:r>
        <w:rPr>
          <w:rFonts w:ascii="宋体" w:hAnsi="宋体" w:eastAsia="宋体"/>
          <w:color w:val="000000"/>
          <w:sz w:val="22"/>
        </w:rPr>
        <w:t>这些描述子存储在精确的 FAISS IndexFlatL2 索引中 [33]。对于查询 Patch p，其到最近正常描述子的平方欧氏距离定义为原始异常分数：</w:t>
      </w:r>
    </w:p>
    <w:p w14:paraId="5B5F382B">
      <w:pPr>
        <w:spacing w:before="100" w:after="140"/>
        <w:jc w:val="center"/>
      </w:pPr>
      <m:oMathPara>
        <m:oMath>
          <m:sSub>
            <m:sSubPr/>
            <m:e>
              <m:r>
                <m:rPr/>
                <m:t>a</m:t>
              </m:r>
            </m:e>
            <m:sub>
              <m:r>
                <m:rPr/>
                <m:t>p</m:t>
              </m:r>
            </m:sub>
          </m:sSub>
          <m:r>
            <m:rPr/>
            <m:t>(x) =</m:t>
          </m:r>
          <m:f>
            <m:fPr/>
            <m:num>
              <m:r>
                <m:rPr/>
                <m:t>1</m:t>
              </m:r>
            </m:num>
            <m:den>
              <m:r>
                <m:rPr/>
                <m:t>2</m:t>
              </m:r>
            </m:den>
          </m:f>
          <m:sSub>
            <m:sSubPr/>
            <m:e>
              <m:r>
                <m:rPr/>
                <m:t>min</m:t>
              </m:r>
            </m:e>
            <m:sub>
              <m:r>
                <m:rPr/>
                <m:t>m∈M_c</m:t>
              </m:r>
            </m:sub>
          </m:sSub>
          <m:sSubSup>
            <m:sSubSupPr/>
            <m:e>
              <m:r>
                <m:rPr/>
                <m:t>‖</m:t>
              </m:r>
              <m:sSub>
                <m:sSubPr/>
                <m:e>
                  <m:r>
                    <m:rPr/>
                    <m:t>f</m:t>
                  </m:r>
                </m:e>
                <m:sub>
                  <m:r>
                    <m:rPr/>
                    <m:t>A,p</m:t>
                  </m:r>
                </m:sub>
              </m:sSub>
              <m:r>
                <m:rPr/>
                <m:t>(x) − m‖</m:t>
              </m:r>
            </m:e>
            <m:sub>
              <m:r>
                <m:rPr/>
                <m:t>2</m:t>
              </m:r>
            </m:sub>
            <m:sup>
              <m:r>
                <m:rPr/>
                <m:t>2</m:t>
              </m:r>
            </m:sup>
          </m:sSubSup>
          <m:r>
            <m:rPr/>
            <m:t>.</m:t>
          </m:r>
        </m:oMath>
      </m:oMathPara>
    </w:p>
    <w:p w14:paraId="10338A64">
      <w:pPr>
        <w:spacing w:before="0" w:after="120" w:line="300" w:lineRule="auto"/>
        <w:ind w:firstLine="360"/>
        <w:jc w:val="both"/>
      </w:pPr>
      <w:r>
        <w:rPr>
          <w:rFonts w:ascii="宋体" w:hAnsi="宋体" w:eastAsia="宋体"/>
          <w:color w:val="000000"/>
          <w:sz w:val="22"/>
        </w:rPr>
        <w:t>所有融合描述子均经过单位归一化；因此，其平方欧氏距离的一半等于余弦距离。系数 1/2 在不改变分数排序的情况下保留了便利的距离解释。Patch 分数首先排列到 DINO 网格上，再通过双线性插值缩放到 448 × 448，最后使用 σ = 4 的高斯核进行滤波，从而得到 S_448(x)。图像级分数通过最大池化获得，即 s_img(x) = max_u S_448,u(x)，使得局部区域中的强异常能够触发图像级检测。该聚合方式在 DCFnet 与匹配对照方法中保持一致。</w:t>
      </w:r>
    </w:p>
    <w:p w14:paraId="71C77428">
      <w:pPr>
        <w:pStyle w:val="4"/>
        <w:keepNext/>
      </w:pPr>
      <w:r>
        <w:rPr>
          <w:rFonts w:ascii="微软雅黑" w:hAnsi="微软雅黑" w:eastAsia="微软雅黑"/>
          <w:b/>
          <w:color w:val="000000"/>
          <w:sz w:val="25"/>
        </w:rPr>
        <w:t>3.6 匹配对照、复杂度与实验协议完整性</w:t>
      </w:r>
    </w:p>
    <w:p w14:paraId="07140783">
      <w:pPr>
        <w:spacing w:before="0" w:after="120" w:line="300" w:lineRule="auto"/>
        <w:ind w:firstLine="360"/>
        <w:jc w:val="both"/>
      </w:pPr>
      <w:r>
        <w:rPr>
          <w:rFonts w:ascii="宋体" w:hAnsi="宋体" w:eastAsia="宋体"/>
          <w:color w:val="000000"/>
          <w:sz w:val="22"/>
        </w:rPr>
        <w:t>匹配的 DINO-only 对照方法移除 DPAM-modified CLIP 分支和拼接步骤，但保留完全相同的 DINOv2 描述子、支持图像身份、K 值、随机种子、精确一近邻搜索、距离定义、上采样、高斯平滑及评估分辨率。这一设计至关重要：若仅将 DCFnet 与采用不同检查点、数据角色或后处理方式的已发表结果比较，就无法单独识别特征融合的作用。匹配对照实验只改变一个因素，即是否加入经过校准的第二种视觉表征。</w:t>
      </w:r>
    </w:p>
    <w:p w14:paraId="3533B021">
      <w:pPr>
        <w:spacing w:before="0" w:after="120" w:line="300" w:lineRule="auto"/>
        <w:ind w:firstLine="360"/>
        <w:jc w:val="both"/>
      </w:pPr>
      <w:r>
        <w:rPr>
          <w:rFonts w:ascii="宋体" w:hAnsi="宋体" w:eastAsia="宋体"/>
          <w:color w:val="000000"/>
          <w:sz w:val="22"/>
        </w:rPr>
        <w:t>DCFnet 在目标域流程中不引入任何可训练参数。该性质消除了参数优化时间，但不代表推理没有代价：两个冻结编码器均需要执行，而且融合记忆库的描述子维度是 DINO-only 记忆库的两倍。若每张参考图像保留 P = h_D w_D 个 Patch，则类别记忆库大约包含 KP 个 1536 维向量；精确搜索的成本随所存储记忆库规模线性增长。因此，本文将训练成本、推理时延与内存占用视为三个不同的量，并不宣称方法不存在计算开销。</w:t>
      </w:r>
    </w:p>
    <w:p w14:paraId="3918797B">
      <w:pPr>
        <w:spacing w:before="0" w:after="120" w:line="300" w:lineRule="auto"/>
        <w:ind w:firstLine="360"/>
        <w:jc w:val="both"/>
      </w:pPr>
      <w:r>
        <w:rPr>
          <w:rFonts w:ascii="宋体" w:hAnsi="宋体" w:eastAsia="宋体"/>
          <w:color w:val="000000"/>
          <w:sz w:val="22"/>
        </w:rPr>
        <w:t>最后，该流程遵循严格的数据泄漏约束。在确定 α、距离规则或后处理方法时，均不能使用测试标签、像素掩码、测试集统计信息或类别特定测试结果。MPDD 用于方法开发；冻结后的配置随后在 BTAD 和 MVTec AD 上作为外部验证域进行评估。考虑到 AnomalyCLIP 检查点的来源关系，VisA 被报告为冻结的域内验证集，而不被描述为独立的外部泛化数据集。通过明确区分不同数据角色，可以避免把预训练第二分支描述成与所有评估域都不存在任何关系。</w:t>
      </w:r>
    </w:p>
    <w:p w14:paraId="71E5D22A">
      <w:pPr>
        <w:pStyle w:val="3"/>
        <w:keepNext/>
      </w:pPr>
      <w:r>
        <w:rPr>
          <w:rFonts w:ascii="微软雅黑" w:hAnsi="微软雅黑" w:eastAsia="微软雅黑"/>
          <w:b/>
          <w:color w:val="000000"/>
          <w:sz w:val="30"/>
        </w:rPr>
        <w:t>参考文献</w:t>
      </w:r>
    </w:p>
    <w:p w14:paraId="5304BB0B">
      <w:pPr>
        <w:spacing w:after="60" w:line="252" w:lineRule="auto"/>
        <w:ind w:left="360" w:hanging="360"/>
      </w:pPr>
      <w:r>
        <w:rPr>
          <w:rFonts w:ascii="Times New Roman" w:hAnsi="Times New Roman" w:eastAsia="Times New Roman"/>
          <w:color w:val="000000"/>
          <w:sz w:val="17"/>
        </w:rPr>
        <w:t>[1] P. Bergmann, M. Fauser, D. Sattlegger, and C. Steger, 'MVTec AD - A comprehensive real-world dataset for unsupervised anomaly detection,' in Proc. IEEE/CVF Conf. Comput. Vis. Pattern Recognit. (CVPR), 2019, pp. 9592-9600.</w:t>
      </w:r>
    </w:p>
    <w:p w14:paraId="2D007B99">
      <w:pPr>
        <w:spacing w:after="60" w:line="252" w:lineRule="auto"/>
        <w:ind w:left="360" w:hanging="360"/>
      </w:pPr>
      <w:r>
        <w:rPr>
          <w:rFonts w:ascii="Times New Roman" w:hAnsi="Times New Roman" w:eastAsia="Times New Roman"/>
          <w:color w:val="000000"/>
          <w:sz w:val="17"/>
        </w:rPr>
        <w:t>[2] Y. Zou, J. Jeong, L. Pemula, D. Zhang, and O. Dabeer, 'SPot-the-Difference self-supervised pre-training for anomaly detection and segmentation,' in Proc. Eur. Conf. Comput. Vis. (ECCV), 2022, pp. 392-408.</w:t>
      </w:r>
    </w:p>
    <w:p w14:paraId="00FB0A91">
      <w:pPr>
        <w:spacing w:after="60" w:line="252" w:lineRule="auto"/>
        <w:ind w:left="360" w:hanging="360"/>
      </w:pPr>
      <w:r>
        <w:rPr>
          <w:rFonts w:ascii="Times New Roman" w:hAnsi="Times New Roman" w:eastAsia="Times New Roman"/>
          <w:color w:val="000000"/>
          <w:sz w:val="17"/>
        </w:rPr>
        <w:t>[3] S. Jezek, M. Jonak, R. Burget, P. Dvorak, and M. Skotak, 'Deep learning-based defect detection of metal parts: Evaluating current methods in complex conditions,' in Proc. 13th Int. Congr. Ultra Modern Telecommun. Control Syst. Workshops, 2021, pp. 66-71, doi: 10.1109/ICUMT54235.2021.9631567.</w:t>
      </w:r>
    </w:p>
    <w:p w14:paraId="25D4846E">
      <w:pPr>
        <w:spacing w:after="60" w:line="252" w:lineRule="auto"/>
        <w:ind w:left="360" w:hanging="360"/>
      </w:pPr>
      <w:r>
        <w:rPr>
          <w:rFonts w:ascii="Times New Roman" w:hAnsi="Times New Roman" w:eastAsia="Times New Roman"/>
          <w:color w:val="000000"/>
          <w:sz w:val="17"/>
        </w:rPr>
        <w:t>[4] P. Mishra, R. Verk, D. Fornasier, C. Piciarelli, and G. L. Foresti, 'VT-ADL: A vision transformer network for image anomaly detection and localization,' in Proc. IEEE 30th Int. Symp. Ind. Electron., 2021, pp. 1-6, doi: 10.1109/ISIE45552.2021.9576231.</w:t>
      </w:r>
    </w:p>
    <w:p w14:paraId="7BD3C562">
      <w:pPr>
        <w:spacing w:after="60" w:line="252" w:lineRule="auto"/>
        <w:ind w:left="360" w:hanging="360"/>
      </w:pPr>
      <w:r>
        <w:rPr>
          <w:rFonts w:ascii="Times New Roman" w:hAnsi="Times New Roman" w:eastAsia="Times New Roman"/>
          <w:color w:val="000000"/>
          <w:sz w:val="17"/>
        </w:rPr>
        <w:t>[5] K. Roth, L. Pemula, J. Zepeda, B. Scholkopf, T. Brox, and P. Gehler, 'Towards total recall in industrial anomaly detection,' in Proc. IEEE/CVF Conf. Comput. Vis. Pattern Recognit. (CVPR), 2022, pp. 14318-14328.</w:t>
      </w:r>
    </w:p>
    <w:p w14:paraId="6C76C5F9">
      <w:pPr>
        <w:spacing w:after="60" w:line="252" w:lineRule="auto"/>
        <w:ind w:left="360" w:hanging="360"/>
      </w:pPr>
      <w:r>
        <w:rPr>
          <w:rFonts w:ascii="Times New Roman" w:hAnsi="Times New Roman" w:eastAsia="Times New Roman"/>
          <w:color w:val="000000"/>
          <w:sz w:val="17"/>
        </w:rPr>
        <w:t>[6] M. Oquab et al., 'DINOv2: Learning robust visual features without supervision,' Trans. Mach. Learn. Res., 2024.</w:t>
      </w:r>
    </w:p>
    <w:p w14:paraId="2F0DC3AB">
      <w:pPr>
        <w:spacing w:after="60" w:line="252" w:lineRule="auto"/>
        <w:ind w:left="360" w:hanging="360"/>
      </w:pPr>
      <w:r>
        <w:rPr>
          <w:rFonts w:ascii="Times New Roman" w:hAnsi="Times New Roman" w:eastAsia="Times New Roman"/>
          <w:color w:val="000000"/>
          <w:sz w:val="17"/>
        </w:rPr>
        <w:t>[7] S. Damm, M. Laszkiewicz, J. Lederer, and A. Fischer, 'AnomalyDINO: Boosting patch-based few-shot anomaly detection with DINOv2,' in Proc. IEEE/CVF Winter Conf. Appl. Comput. Vis. (WACV), 2025, pp. 1319-1329.</w:t>
      </w:r>
    </w:p>
    <w:p w14:paraId="0005A025">
      <w:pPr>
        <w:spacing w:after="60" w:line="252" w:lineRule="auto"/>
        <w:ind w:left="360" w:hanging="360"/>
      </w:pPr>
      <w:r>
        <w:rPr>
          <w:rFonts w:ascii="Times New Roman" w:hAnsi="Times New Roman" w:eastAsia="Times New Roman"/>
          <w:color w:val="000000"/>
          <w:sz w:val="17"/>
        </w:rPr>
        <w:t>[8] A. Radford et al., 'Learning transferable visual models from natural language supervision,' in Proc. 38th Int. Conf. Mach. Learn., vol. 139, 2021, pp. 8748-8763.</w:t>
      </w:r>
    </w:p>
    <w:p w14:paraId="3A69FECE">
      <w:pPr>
        <w:spacing w:after="60" w:line="252" w:lineRule="auto"/>
        <w:ind w:left="360" w:hanging="360"/>
      </w:pPr>
      <w:r>
        <w:rPr>
          <w:rFonts w:ascii="Times New Roman" w:hAnsi="Times New Roman" w:eastAsia="Times New Roman"/>
          <w:color w:val="000000"/>
          <w:sz w:val="17"/>
        </w:rPr>
        <w:t>[9] J. Jeong, Y. Zou, T. Kim, D. Zhang, A. Ravichandran, and O. Dabeer, 'WinCLIP: Zero-/few-shot anomaly classification and segmentation,' in Proc. IEEE/CVF Conf. Comput. Vis. Pattern Recognit. (CVPR), 2023, pp. 19606-19616.</w:t>
      </w:r>
    </w:p>
    <w:p w14:paraId="4E10F37D">
      <w:pPr>
        <w:spacing w:after="60" w:line="252" w:lineRule="auto"/>
        <w:ind w:left="360" w:hanging="360"/>
      </w:pPr>
      <w:r>
        <w:rPr>
          <w:rFonts w:ascii="Times New Roman" w:hAnsi="Times New Roman" w:eastAsia="Times New Roman"/>
          <w:color w:val="000000"/>
          <w:sz w:val="17"/>
        </w:rPr>
        <w:t>[10] Q. Zhou, G. Pang, Y. Tian, S. He, and J. Chen, 'AnomalyCLIP: Object-agnostic prompt learning for zero-shot anomaly detection,' in Proc. Int. Conf. Learn. Represent. (ICLR), 2024.</w:t>
      </w:r>
    </w:p>
    <w:p w14:paraId="55F80AFC">
      <w:pPr>
        <w:spacing w:after="60" w:line="252" w:lineRule="auto"/>
        <w:ind w:left="360" w:hanging="360"/>
      </w:pPr>
      <w:r>
        <w:rPr>
          <w:rFonts w:ascii="Times New Roman" w:hAnsi="Times New Roman" w:eastAsia="Times New Roman"/>
          <w:color w:val="000000"/>
          <w:sz w:val="17"/>
        </w:rPr>
        <w:t>[11] X. Li, Z. Zhang, X. Tan, C. Chen, Y. Qu, Y. Xie, and L. Ma, 'PromptAD: Learning prompts with only normal samples for few-shot anomaly detection,' in Proc. IEEE/CVF Conf. Comput. Vis. Pattern Recognit. (CVPR), 2024, pp. 16838-16848.</w:t>
      </w:r>
    </w:p>
    <w:p w14:paraId="456C6DA7">
      <w:pPr>
        <w:spacing w:after="60" w:line="252" w:lineRule="auto"/>
        <w:ind w:left="360" w:hanging="360"/>
      </w:pPr>
      <w:r>
        <w:rPr>
          <w:rFonts w:ascii="Times New Roman" w:hAnsi="Times New Roman" w:eastAsia="Times New Roman"/>
          <w:color w:val="000000"/>
          <w:sz w:val="17"/>
        </w:rPr>
        <w:t>[12] X. Guo, Z. Chen, C. D. Castillo, H. Wang, and X. Liu, 'Sea-CLIP: Mining semantic-aware representations for few-shot anomaly detection with CLIP,' in Proc. IEEE/CVF Winter Conf. Appl. Comput. Vis. (WACV), 2026, pp. 3689-3699.</w:t>
      </w:r>
    </w:p>
    <w:p w14:paraId="636B09A4">
      <w:pPr>
        <w:spacing w:after="60" w:line="252" w:lineRule="auto"/>
        <w:ind w:left="360" w:hanging="360"/>
      </w:pPr>
      <w:r>
        <w:rPr>
          <w:rFonts w:ascii="Times New Roman" w:hAnsi="Times New Roman" w:eastAsia="Times New Roman"/>
          <w:color w:val="000000"/>
          <w:sz w:val="17"/>
        </w:rPr>
        <w:t>[13] M. Yang, J. Liu, Z. Yang, and Z. Wu, 'SLSG: Industrial image anomaly detection with improved feature embeddings and one-class classification,' Pattern Recognit., vol. 156, Art. no. 110862, 2024, doi: 10.1016/j.patcog.2024.110862.</w:t>
      </w:r>
    </w:p>
    <w:p w14:paraId="04D320E9">
      <w:pPr>
        <w:spacing w:after="60" w:line="252" w:lineRule="auto"/>
        <w:ind w:left="360" w:hanging="360"/>
      </w:pPr>
      <w:r>
        <w:rPr>
          <w:rFonts w:ascii="Times New Roman" w:hAnsi="Times New Roman" w:eastAsia="Times New Roman"/>
          <w:color w:val="000000"/>
          <w:sz w:val="17"/>
        </w:rPr>
        <w:t>[14] X. Zhang, M. Xu, and X. Zhou, 'RealNet: A feature selection network with realistic synthetic anomaly for anomaly detection,' in Proc. IEEE/CVF Conf. Comput. Vis. Pattern Recognit. (CVPR), 2024, pp. 16699-16708.</w:t>
      </w:r>
    </w:p>
    <w:p w14:paraId="35EEB247">
      <w:pPr>
        <w:spacing w:after="60" w:line="252" w:lineRule="auto"/>
        <w:ind w:left="360" w:hanging="360"/>
      </w:pPr>
      <w:r>
        <w:rPr>
          <w:rFonts w:ascii="Times New Roman" w:hAnsi="Times New Roman" w:eastAsia="Times New Roman"/>
          <w:color w:val="000000"/>
          <w:sz w:val="17"/>
        </w:rPr>
        <w:t>[15] Y. Bai, J. Zhang, Z. Chen, Y. Dong, Y. Cao, and G. Tian, 'Dual-path frequency discriminators for few-shot anomaly detection,' Knowl.-Based Syst., vol. 302, Art. no. 112397, 2024, doi: 10.1016/j.knosys.2024.112397.</w:t>
      </w:r>
    </w:p>
    <w:p w14:paraId="28779445">
      <w:pPr>
        <w:spacing w:after="60" w:line="252" w:lineRule="auto"/>
        <w:ind w:left="360" w:hanging="360"/>
      </w:pPr>
      <w:r>
        <w:rPr>
          <w:rFonts w:ascii="Times New Roman" w:hAnsi="Times New Roman" w:eastAsia="Times New Roman"/>
          <w:color w:val="000000"/>
          <w:sz w:val="17"/>
        </w:rPr>
        <w:t>[16] A. Luo, G. Wen, Y. Cheng, S. Mei, H. Dong, and X. Liu, 'DMMGNet: A discrimination mapping and memory bank mean guidance-based network for high-performance few-shot industrial anomaly detection,' Neurocomputing, vol. 610, Art. no. 128622, 2024, doi: 10.1016/j.neucom.2024.128622.</w:t>
      </w:r>
    </w:p>
    <w:p w14:paraId="57A9D706">
      <w:pPr>
        <w:spacing w:after="60" w:line="252" w:lineRule="auto"/>
        <w:ind w:left="360" w:hanging="360"/>
      </w:pPr>
      <w:r>
        <w:rPr>
          <w:rFonts w:ascii="Times New Roman" w:hAnsi="Times New Roman" w:eastAsia="Times New Roman"/>
          <w:color w:val="000000"/>
          <w:sz w:val="17"/>
        </w:rPr>
        <w:t>[17] T. Defard, A. Setkov, A. Loesch, and R. Audigier, 'PaDiM: A patch distribution modeling framework for anomaly detection and localization,' in Pattern Recognition. ICPR International Workshops and Challenges, 2021, pp. 475-489, doi: 10.1007/978-3-030-68799-1_35.</w:t>
      </w:r>
    </w:p>
    <w:p w14:paraId="7EB84EB5">
      <w:pPr>
        <w:spacing w:after="60" w:line="252" w:lineRule="auto"/>
        <w:ind w:left="360" w:hanging="360"/>
      </w:pPr>
      <w:r>
        <w:rPr>
          <w:rFonts w:ascii="Times New Roman" w:hAnsi="Times New Roman" w:eastAsia="Times New Roman"/>
          <w:color w:val="000000"/>
          <w:sz w:val="17"/>
        </w:rPr>
        <w:t>[18] Z. Hu, X. Zeng, Y. Li, Z. Yin, E. Meng, L. Zhu, and X. Kong, 'Few-shot anomaly detection with adaptive feature transformation and descriptor construction,' Chin. J. Aeronaut., vol. 38, no. 3, Art. no. 103098, 2025, doi: 10.1016/j.cja.2024.06.007.</w:t>
      </w:r>
    </w:p>
    <w:p w14:paraId="777A42CD">
      <w:pPr>
        <w:spacing w:after="60" w:line="252" w:lineRule="auto"/>
        <w:ind w:left="360" w:hanging="360"/>
      </w:pPr>
      <w:r>
        <w:rPr>
          <w:rFonts w:ascii="Times New Roman" w:hAnsi="Times New Roman" w:eastAsia="Times New Roman"/>
          <w:color w:val="000000"/>
          <w:sz w:val="17"/>
        </w:rPr>
        <w:t>[19] S. Wei, X. Wei, Z. Ma, S. Dong, S. Zhang, and Y. Gong, 'Few-shot online anomaly detection and segmentation,' Knowl.-Based Syst., vol. 300, Art. no. 112168, 2024, doi: 10.1016/j.knosys.2024.112168.</w:t>
      </w:r>
    </w:p>
    <w:p w14:paraId="0B74B515">
      <w:pPr>
        <w:spacing w:after="60" w:line="252" w:lineRule="auto"/>
        <w:ind w:left="360" w:hanging="360"/>
      </w:pPr>
      <w:r>
        <w:rPr>
          <w:rFonts w:ascii="Times New Roman" w:hAnsi="Times New Roman" w:eastAsia="Times New Roman"/>
          <w:color w:val="000000"/>
          <w:sz w:val="17"/>
        </w:rPr>
        <w:t>[20] J. Zhou, W. Wong, and F. Liao, 'One-shot unsupervised industrial anomaly detection: Enhanced performance under extreme data scarcity,' Pattern Recognit., vol. 173, Art. no. 112759, 2026, doi: 10.1016/j.patcog.2025.112759.</w:t>
      </w:r>
    </w:p>
    <w:p w14:paraId="09AC1950">
      <w:pPr>
        <w:spacing w:after="60" w:line="252" w:lineRule="auto"/>
        <w:ind w:left="360" w:hanging="360"/>
      </w:pPr>
      <w:r>
        <w:rPr>
          <w:rFonts w:ascii="Times New Roman" w:hAnsi="Times New Roman" w:eastAsia="Times New Roman"/>
          <w:color w:val="000000"/>
          <w:sz w:val="17"/>
        </w:rPr>
        <w:t>[21] Y. Li, L. Tian, Y. Dai, W. Chen, L. Bao, and X. Liu, 'FastRef: Fast prototype refinement for few-shot industrial anomaly detection,' in Proc. IEEE/CVF Conf. Comput. Vis. Pattern Recognit. (CVPR), 2026, pp. 43040-43049.</w:t>
      </w:r>
    </w:p>
    <w:p w14:paraId="5172C33F">
      <w:pPr>
        <w:spacing w:after="60" w:line="252" w:lineRule="auto"/>
        <w:ind w:left="360" w:hanging="360"/>
      </w:pPr>
      <w:r>
        <w:rPr>
          <w:rFonts w:ascii="Times New Roman" w:hAnsi="Times New Roman" w:eastAsia="Times New Roman"/>
          <w:color w:val="000000"/>
          <w:sz w:val="17"/>
        </w:rPr>
        <w:t>[22] Z. Gu, B. Zhu, G. Zhu, Y. Chen, M. Tang, and J. Wang, 'UniVAD: A training-free unified model for few-shot visual anomaly detection,' in Proc. IEEE/CVF Conf. Comput. Vis. Pattern Recognit. (CVPR), 2025, pp. 15194-15203.</w:t>
      </w:r>
    </w:p>
    <w:p w14:paraId="5B877E3D">
      <w:pPr>
        <w:spacing w:after="60" w:line="252" w:lineRule="auto"/>
        <w:ind w:left="360" w:hanging="360"/>
      </w:pPr>
      <w:r>
        <w:rPr>
          <w:rFonts w:ascii="Times New Roman" w:hAnsi="Times New Roman" w:eastAsia="Times New Roman"/>
          <w:color w:val="000000"/>
          <w:sz w:val="17"/>
        </w:rPr>
        <w:t>[23] C. Lendering, E. Akdag, and E. Bondarau, 'SubspaceAD: Training-free few-shot anomaly detection via subspace modeling,' in Proc. IEEE/CVF Conf. Comput. Vis. Pattern Recognit. (CVPR), 2026, pp. 28557-28566.</w:t>
      </w:r>
    </w:p>
    <w:p w14:paraId="518E5492">
      <w:pPr>
        <w:spacing w:after="60" w:line="252" w:lineRule="auto"/>
        <w:ind w:left="360" w:hanging="360"/>
      </w:pPr>
      <w:r>
        <w:rPr>
          <w:rFonts w:ascii="Times New Roman" w:hAnsi="Times New Roman" w:eastAsia="Times New Roman"/>
          <w:color w:val="000000"/>
          <w:sz w:val="17"/>
        </w:rPr>
        <w:t>[24] L. Jiang, Y. Huang, Z. Xu, Y. Xu, H.-S. Wong, and S. Wu, 'Defect cue-preserved structural feature refinement for few-shot anomaly detection,' in Proc. IEEE/CVF Conf. Comput. Vis. Pattern Recognit. (CVPR), 2026, pp. 35607-35616.</w:t>
      </w:r>
    </w:p>
    <w:p w14:paraId="513F49B3">
      <w:pPr>
        <w:spacing w:after="60" w:line="252" w:lineRule="auto"/>
        <w:ind w:left="360" w:hanging="360"/>
      </w:pPr>
      <w:r>
        <w:rPr>
          <w:rFonts w:ascii="Times New Roman" w:hAnsi="Times New Roman" w:eastAsia="Times New Roman"/>
          <w:color w:val="000000"/>
          <w:sz w:val="17"/>
        </w:rPr>
        <w:t>[25] J. Zhu and G. Pang, 'Toward generalist anomaly detection via in-context residual learning with few-shot sample prompts,' in Proc. IEEE/CVF Conf. Comput. Vis. Pattern Recognit. (CVPR), 2024, pp. 17826-17836.</w:t>
      </w:r>
    </w:p>
    <w:p w14:paraId="7278C190">
      <w:pPr>
        <w:spacing w:after="60" w:line="252" w:lineRule="auto"/>
        <w:ind w:left="360" w:hanging="360"/>
      </w:pPr>
      <w:r>
        <w:rPr>
          <w:rFonts w:ascii="Times New Roman" w:hAnsi="Times New Roman" w:eastAsia="Times New Roman"/>
          <w:color w:val="000000"/>
          <w:sz w:val="17"/>
        </w:rPr>
        <w:t>[26] W. Ma et al., 'AA-CLIP: Enhancing zero-shot anomaly detection via anomaly-aware CLIP,' in Proc. IEEE/CVF Conf. Comput. Vis. Pattern Recognit. (CVPR), 2025, pp. 4744-4754.</w:t>
      </w:r>
    </w:p>
    <w:p w14:paraId="68F2F61F">
      <w:pPr>
        <w:spacing w:after="60" w:line="252" w:lineRule="auto"/>
        <w:ind w:left="360" w:hanging="360"/>
      </w:pPr>
      <w:r>
        <w:rPr>
          <w:rFonts w:ascii="Times New Roman" w:hAnsi="Times New Roman" w:eastAsia="Times New Roman"/>
          <w:color w:val="000000"/>
          <w:sz w:val="17"/>
        </w:rPr>
        <w:t>[27] J. Zhu, Y.-S. Ong, C. Shen, and G. Pang, 'Fine-grained abnormality prompt learning for zero-shot anomaly detection,' in Proc. IEEE/CVF Int. Conf. Comput. Vis. (ICCV), 2025, pp. 22241-22251.</w:t>
      </w:r>
    </w:p>
    <w:p w14:paraId="659FCD10">
      <w:pPr>
        <w:spacing w:after="60" w:line="252" w:lineRule="auto"/>
        <w:ind w:left="360" w:hanging="360"/>
      </w:pPr>
      <w:r>
        <w:rPr>
          <w:rFonts w:ascii="Times New Roman" w:hAnsi="Times New Roman" w:eastAsia="Times New Roman"/>
          <w:color w:val="000000"/>
          <w:sz w:val="17"/>
        </w:rPr>
        <w:t>[28] H. Ma, G. Yang, D. Zhao, Y. Ji, and W. Zuo, 'ReMP-AD: Retrieval-enhanced multi-modal prompt fusion for few-shot industrial visual anomaly detection,' in Proc. IEEE/CVF Int. Conf. Comput. Vis. (ICCV), 2025, pp. 20425-20434, doi: 10.1109/ICCV51701.2025.01899.</w:t>
      </w:r>
    </w:p>
    <w:p w14:paraId="3FB14EF5">
      <w:pPr>
        <w:spacing w:after="60" w:line="252" w:lineRule="auto"/>
        <w:ind w:left="360" w:hanging="360"/>
      </w:pPr>
      <w:r>
        <w:rPr>
          <w:rFonts w:ascii="Times New Roman" w:hAnsi="Times New Roman" w:eastAsia="Times New Roman"/>
          <w:color w:val="000000"/>
          <w:sz w:val="17"/>
        </w:rPr>
        <w:t>[29] L. Xu, D. Han, G. Li, M. Zhou, J. Wan, and M. Li, 'Multimodal feature cooperative refinement for few-shot anomaly detection,' Adv. Eng. Inform., vol. 68, pt. C, Art. no. 103792, 2025, doi: 10.1016/j.aei.2025.103792.</w:t>
      </w:r>
    </w:p>
    <w:p w14:paraId="09B6A0D8">
      <w:pPr>
        <w:spacing w:after="60" w:line="252" w:lineRule="auto"/>
        <w:ind w:left="360" w:hanging="360"/>
      </w:pPr>
      <w:r>
        <w:rPr>
          <w:rFonts w:ascii="Times New Roman" w:hAnsi="Times New Roman" w:eastAsia="Times New Roman"/>
          <w:color w:val="000000"/>
          <w:sz w:val="17"/>
        </w:rPr>
        <w:t>[30] R. Ma, C. Li, J. Chen, Y. Feng, and J. Xie, 'PAPL: Particle-based adaptive prompt learning for zero-shot industrial anomaly detection,' Pattern Recognit., vol. 178, Art. no. 113489, 2026, doi: 10.1016/j.patcog.2026.113489.</w:t>
      </w:r>
    </w:p>
    <w:p w14:paraId="438C2DAB">
      <w:pPr>
        <w:spacing w:after="60" w:line="252" w:lineRule="auto"/>
        <w:ind w:left="360" w:hanging="360"/>
      </w:pPr>
      <w:r>
        <w:rPr>
          <w:rFonts w:ascii="Times New Roman" w:hAnsi="Times New Roman" w:eastAsia="Times New Roman"/>
          <w:color w:val="000000"/>
          <w:sz w:val="17"/>
        </w:rPr>
        <w:t>[31] J. Jiang, Z. He, A. Wan, K. AL-Bukhaiti, and K. Wang, 'Zero-shot industrial anomaly detection via CLIP-DINOv2 multimodal fusion and stabilized attention pooling,' Electronics, vol. 14, no. 24, Art. no. 4785, 2025, doi: 10.3390/electronics14244785.</w:t>
      </w:r>
    </w:p>
    <w:p w14:paraId="0BF0A6E1">
      <w:pPr>
        <w:spacing w:after="60" w:line="252" w:lineRule="auto"/>
        <w:ind w:left="360" w:hanging="360"/>
      </w:pPr>
      <w:r>
        <w:rPr>
          <w:rFonts w:ascii="Times New Roman" w:hAnsi="Times New Roman" w:eastAsia="Times New Roman"/>
          <w:color w:val="000000"/>
          <w:sz w:val="17"/>
        </w:rPr>
        <w:t>[32] C. Wang et al., 'Real-IAD: A real-world multi-view dataset for benchmarking versatile industrial anomaly detection,' in Proc. IEEE/CVF Conf. Comput. Vis. Pattern Recognit. (CVPR), 2024, pp. 22883-22892.</w:t>
      </w:r>
    </w:p>
    <w:p w14:paraId="1BE03526">
      <w:pPr>
        <w:spacing w:after="60" w:line="252" w:lineRule="auto"/>
        <w:ind w:left="360" w:hanging="360"/>
      </w:pPr>
      <w:r>
        <w:rPr>
          <w:rFonts w:ascii="Times New Roman" w:hAnsi="Times New Roman" w:eastAsia="Times New Roman"/>
          <w:color w:val="000000"/>
          <w:sz w:val="17"/>
        </w:rPr>
        <w:t>[33] J. Johnson, M. Douze, and H. Jegou, 'Billion-scale similarity search with GPUs,' IEEE Trans. Big Data, vol. 7, no. 3, pp. 535-547, 2021, doi: 10.1109/TBDATA.2019.2921572.</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0D841">
    <w:pPr>
      <w:pStyle w:val="24"/>
      <w:jc w:val="right"/>
    </w:pPr>
    <w:r>
      <w:rPr>
        <w:rFonts w:ascii="Times New Roman" w:hAnsi="Times New Roman" w:eastAsia="Times New Roman"/>
        <w:color w:val="666666"/>
        <w:sz w:val="18"/>
      </w:rPr>
      <w:fldChar w:fldCharType="begin"/>
    </w:r>
    <w:r>
      <w:rPr>
        <w:rFonts w:ascii="Times New Roman" w:hAnsi="Times New Roman" w:eastAsia="Times New Roman"/>
        <w:color w:val="666666"/>
        <w:sz w:val="18"/>
      </w:rPr>
      <w:instrText xml:space="preserve"> PAGE </w:instrText>
    </w:r>
    <w:r>
      <w:rPr>
        <w:rFonts w:ascii="Times New Roman" w:hAnsi="Times New Roman" w:eastAsia="Times New Roman"/>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C9497">
    <w:pPr>
      <w:pStyle w:val="25"/>
      <w:jc w:val="left"/>
    </w:pPr>
    <w:r>
      <w:rPr>
        <w:rFonts w:ascii="宋体" w:hAnsi="宋体" w:eastAsia="宋体"/>
        <w:color w:val="666666"/>
        <w:sz w:val="18"/>
      </w:rPr>
      <w:t>DCFnet｜中文对照译稿（至方法部分）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0C0D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jc w:val="both"/>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290" w:lineRule="auto"/>
      <w:contextualSpacing/>
    </w:pPr>
    <w:rPr>
      <w:rFonts w:ascii="Times New Roman" w:hAnsi="Times New Roman"/>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contextualSpacing/>
    </w:pPr>
    <w:rPr>
      <w:rFonts w:ascii="Times New Roman" w:hAnsi="Times New Roman"/>
      <w:sz w:val="22"/>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gure Caption"/>
    <w:uiPriority w:val="0"/>
    <w:pPr>
      <w:spacing w:before="80" w:after="160" w:line="276" w:lineRule="auto"/>
      <w:jc w:val="both"/>
    </w:pPr>
    <w:rPr>
      <w:rFonts w:ascii="Times New Roman" w:hAnsi="Times New Roman"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6769</Words>
  <Characters>7874</Characters>
  <Lines>0</Lines>
  <Paragraphs>0</Paragraphs>
  <TotalTime>149</TotalTime>
  <ScaleCrop>false</ScaleCrop>
  <LinksUpToDate>false</LinksUpToDate>
  <CharactersWithSpaces>8261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李越宁</dc:creator>
  <dc:description>Prepared from the frozen A1 method specification and verified literature sources.</dc:description>
  <cp:keywords>industrial anomaly detection; few-shot; DINOv2; AnomalyCLIP; DCFnet</cp:keywords>
  <cp:lastModifiedBy>李越宁</cp:lastModifiedBy>
  <dcterms:modified xsi:type="dcterms:W3CDTF">2026-09-04T02:34:05Z</dcterms:modified>
  <dc:subject>DCFnet 英文工作稿的中文参考翻译</dc:subject>
  <dc:title>DCFnet 中文对照译稿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eyJoZGlkIjoiN2Y3NmM2MjEyOThmNDZmOWM0NGM2NGNlY2YzYTVjNjUiLCJ1c2VySWQiOiIxNzU0NDMwMjMzIn0=</vt:lpwstr>
  </property>
  <property fmtid="{D5CDD505-2E9C-101B-9397-08002B2CF9AE}" pid="3" name="KSOProductBuildVer">
    <vt:lpwstr>2052-12.1.0.28505</vt:lpwstr>
  </property>
  <property fmtid="{D5CDD505-2E9C-101B-9397-08002B2CF9AE}" pid="4" name="ICV">
    <vt:lpwstr>F3061D365CCF4EAB99394784AD942CF5_12</vt:lpwstr>
  </property>
</Properties>
</file>