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60"/>
        <w:jc w:val="center"/>
      </w:pPr>
      <w:r>
        <w:rPr>
          <w:rFonts w:ascii="Times New Roman" w:hAnsi="Times New Roman" w:eastAsia="Times New Roman"/>
          <w:b/>
          <w:color w:val="000000"/>
          <w:sz w:val="36"/>
        </w:rPr>
        <w:t>DCFnet: Few-Shot Industrial Anomaly Localization via a Dual-Encoder Calibrated Fusion Network</w:t>
      </w:r>
    </w:p>
    <w:p>
      <w:pPr>
        <w:pStyle w:val="Heading1"/>
        <w:keepNext/>
      </w:pPr>
      <w:r>
        <w:rPr>
          <w:rFonts w:ascii="Times New Roman" w:hAnsi="Times New Roman" w:eastAsia="Times New Roman"/>
          <w:b/>
          <w:color w:val="000000"/>
          <w:sz w:val="30"/>
        </w:rPr>
        <w:t>Abstract</w:t>
      </w:r>
    </w:p>
    <w:p>
      <w:pPr>
        <w:spacing w:before="0" w:after="100" w:line="300" w:lineRule="auto"/>
        <w:jc w:val="both"/>
      </w:pPr>
      <w:r>
        <w:rPr>
          <w:rFonts w:ascii="Times New Roman" w:hAnsi="Times New Roman" w:eastAsia="Times New Roman"/>
          <w:color w:val="000000"/>
          <w:sz w:val="22"/>
        </w:rPr>
        <w:t>Automated visual inspection must identify defects whose appearance, scale, and location cannot be exhaustively enumerated before deployment. The problem is particularly acute during production-line start-up, when only a few defect-free images of a new product may be available. Existing few-shot industrial anomaly detectors increasingly use strong pretrained representations, yet a single feature space may not respond uniformly to fine textures, object geometry, and semantically meaningful structural changes. This paper presents DCFnet, a dual-encoder calibrated fusion architecture for normal-only few-shot industrial anomaly detection and pixel-level localization. DCFnet uses a frozen DINOv2 ViT-B/14 encoder and a frozen CLIP ViT-L/14@336 visual encoder configured with AnomalyCLIP's DPAM attention modification. The heterogeneous patch grids are spatially aligned, independently L2-normalized, combined by a fixed equal-weight concatenation, and normalized again before a category-specific normal memory is constructed. Query patches are scored by their nearest-neighbor distance to this memory. The method has no trainable fusion parameters and uses neither text embeddings nor abnormal target-domain samples. Under a matched protocol covering MPDD, BTAD, VisA, and MVTec AD, three reference-image seeds, and 1-, 2-, and 4-shot settings, DCFnet increases mean pixel-level average precision over an otherwise identical DINO-only control by 0.0258, 0.0249, 0.0524, and 0.0320, respectively. The gain is positive in all 36 dataset-level seed/shot configurations, although it is not universal across categories or image-level metrics. These findings establish a transparent and reproducible reference for the benefits, limits, and computational cost of fixed heterogeneous visual-feature fusion in data-scarce industrial inspection.</w:t>
      </w:r>
    </w:p>
    <w:p>
      <w:pPr>
        <w:spacing w:after="200" w:line="288" w:lineRule="auto"/>
      </w:pPr>
      <w:r>
        <w:rPr>
          <w:rFonts w:ascii="Times New Roman" w:hAnsi="Times New Roman" w:eastAsia="Times New Roman"/>
          <w:b/>
          <w:color w:val="000000"/>
          <w:sz w:val="21"/>
        </w:rPr>
        <w:t xml:space="preserve">Keywords: </w:t>
      </w:r>
      <w:r>
        <w:rPr>
          <w:rFonts w:ascii="Times New Roman" w:hAnsi="Times New Roman" w:eastAsia="Times New Roman"/>
          <w:color w:val="000000"/>
          <w:sz w:val="21"/>
        </w:rPr>
        <w:t>industrial anomaly detection; few-shot learning; anomaly localization; visual foundation models; feature fusion; normal memory bank</w:t>
      </w:r>
    </w:p>
    <w:p>
      <w:pPr>
        <w:pStyle w:val="Heading1"/>
        <w:keepNext/>
      </w:pPr>
      <w:r>
        <w:rPr>
          <w:rFonts w:ascii="Times New Roman" w:hAnsi="Times New Roman" w:eastAsia="Times New Roman"/>
          <w:b/>
          <w:color w:val="000000"/>
          <w:sz w:val="30"/>
        </w:rPr>
        <w:t>1. Introduction</w:t>
      </w:r>
    </w:p>
    <w:p>
      <w:pPr>
        <w:spacing w:before="0" w:after="120" w:line="300" w:lineRule="auto"/>
        <w:ind w:firstLine="360"/>
        <w:jc w:val="both"/>
      </w:pPr>
      <w:commentRangeStart w:id="0"/>
      <w:r>
        <w:rPr>
          <w:rFonts w:ascii="Times New Roman" w:hAnsi="Times New Roman" w:eastAsia="Times New Roman"/>
          <w:color w:val="000000"/>
          <w:sz w:val="22"/>
        </w:rPr>
        <w:t>Visual quality inspection must identify defects whose appearance and location cannot be fully specified before deployment. Small surface flaws, missing components, and contamination may be difficult to distinguish from acceptable variation in material, pose, or illumination. Supervised inspection requires representative defect examples and appropriate annotations, which may be unavailable for a new product or an unexpected failure mode. Industrial anomaly detection instead models normal appearance and identifies deviations at test time. Recent work on one-class industrial inspection, such as SLSG, illustrates this approach by improving normal feature embeddings and learning to distinguish normal from simulated abnormal patterns [1]. For practical inspection, the detector must also localize suspicious regions so that an image-level alarm can be examined.</w:t>
      </w:r>
      <w:commentRangeEnd w:id="0"/>
      <w:r>
        <w:rPr>
          <w:rStyle w:val="CommentReference"/>
        </w:rPr>
        <w:commentReference w:id="0"/>
      </w:r>
    </w:p>
    <w:p>
      <w:pPr>
        <w:spacing w:before="0" w:after="120" w:line="300" w:lineRule="auto"/>
        <w:ind w:firstLine="360"/>
        <w:jc w:val="both"/>
      </w:pPr>
      <w:r>
        <w:rPr>
          <w:rFonts w:ascii="Times New Roman" w:hAnsi="Times New Roman" w:eastAsia="Times New Roman"/>
          <w:color w:val="000000"/>
          <w:sz w:val="22"/>
        </w:rPr>
        <w:t>The data constraint becomes more severe when even normal examples are scarce. During production-line start-up or a change of product, collecting a large category-specific reference set may delay deployment. This cold-start problem motivates recent few-shot industrial detectors such as DMMGNet [2]. In the normal-only setting considered here, the detector receives K verified normal images and must identify previously unseen abnormalities without abnormal target-domain training samples. A patch memory supports this task by comparing local query descriptors with normal reference descriptors. AnomalyDINO demonstrates that frozen DINOv2 features can make this simple comparison effective in few-shot anomaly detection [3]. Such results motivate examining the information available in pretrained visual representations before introducing additional trainable components.</w:t>
      </w:r>
    </w:p>
    <w:p>
      <w:pPr>
        <w:spacing w:before="0" w:after="120" w:line="300" w:lineRule="auto"/>
        <w:ind w:firstLine="360"/>
        <w:jc w:val="both"/>
      </w:pPr>
      <w:commentRangeStart w:id="1"/>
      <w:r>
        <w:rPr>
          <w:rFonts w:ascii="Times New Roman" w:hAnsi="Times New Roman" w:eastAsia="Times New Roman"/>
          <w:color w:val="000000"/>
          <w:sz w:val="22"/>
        </w:rPr>
        <w:t>A remaining difficulty is that industrial defects require sensitivity to different visual cues. A thin scratch alters local texture, whereas a missing or displaced part may require broader structural context. PGAD addresses this distinction by combining global invariant features with multiscale local features and calibrating the resulting anomaly scores [4]. This suggests that combining representations deserves investigation, but it does not establish that any pair of encoders will be complementary. In particular, self-supervised visual pretraining and image-text contrastive pretraining provide different learning signals. Whether their frozen image descriptors contribute complementary information to the same normal-memory detector must therefore be tested, rather than assumed.</w:t>
      </w:r>
      <w:commentRangeEnd w:id="1"/>
      <w:r>
        <w:rPr>
          <w:rStyle w:val="CommentReference"/>
        </w:rPr>
        <w:commentReference w:id="1"/>
      </w:r>
    </w:p>
    <w:p>
      <w:pPr>
        <w:spacing w:before="0" w:after="120" w:line="300" w:lineRule="auto"/>
        <w:ind w:firstLine="360"/>
        <w:jc w:val="both"/>
      </w:pPr>
      <w:r>
        <w:rPr>
          <w:rFonts w:ascii="Times New Roman" w:hAnsi="Times New Roman" w:eastAsia="Times New Roman"/>
          <w:color w:val="000000"/>
          <w:sz w:val="22"/>
        </w:rPr>
        <w:t>Using two encoders is not, by itself, a new contribution. Sea-CLIP already combines CLIP and DINOv2 representations with trainable prompts, synthetic anomalies, and an anomaly-matching decoder [5]. Such a system evaluates the combined effect of its representation and adaptation components. Its results alone do not isolate the effect of adding a second frozen visual representation to an otherwise unchanged detector. This motivates a narrower question: can fixed visual-feature fusion improve localization when the normal references and downstream scoring procedure remain identical to those of a single-encoder control?</w:t>
      </w:r>
    </w:p>
    <w:p>
      <w:pPr>
        <w:spacing w:before="0" w:after="120" w:line="300" w:lineRule="auto"/>
        <w:ind w:firstLine="360"/>
        <w:jc w:val="both"/>
      </w:pPr>
      <w:r>
        <w:rPr>
          <w:rFonts w:ascii="Times New Roman" w:hAnsi="Times New Roman" w:eastAsia="Times New Roman"/>
          <w:color w:val="000000"/>
          <w:sz w:val="22"/>
        </w:rPr>
        <w:t>Three technical difficulties must be addressed. First, heterogeneous encoders produce patch grids at different input resolutions, so spatially corresponding descriptors cannot be combined without explicit alignment. Second, the feature spaces have different scales and pretraining biases; uncalibrated concatenation can allow one branch to dominate the distance metric. Third, average benchmark scores may conceal reference-sampling instability, category-specific negative transfer, or additional inference cost. A credible solution should therefore use a clearly specified alignment and normalization procedure, freeze all fusion decisions before external evaluation, compare against a genuinely matched single-encoder control, and report both successful and adverse cases.</w:t>
      </w:r>
    </w:p>
    <w:p>
      <w:pPr>
        <w:spacing w:before="0" w:after="120" w:line="300" w:lineRule="auto"/>
        <w:ind w:firstLine="360"/>
        <w:jc w:val="both"/>
      </w:pPr>
      <w:r>
        <w:rPr>
          <w:rFonts w:ascii="Times New Roman" w:hAnsi="Times New Roman" w:eastAsia="Times New Roman"/>
          <w:color w:val="000000"/>
          <w:sz w:val="22"/>
        </w:rPr>
        <w:t>To this end, we present DCFnet, a Dual-Encoder Calibrated Fusion Network for normal-only few-shot industrial anomaly localization. The term calibrated refers to deterministic spatial and magnitude calibration rather than to a learned gating network. DCFnet extracts patch features from frozen DINOv2 ViT-B/14 and a frozen CLIP ViT-L/14@336 visual encoder configured with AnomalyCLIP's DPAM attention modification. The CLIP-derived patch grid is bilinearly resized to the DINOv2 grid; each branch is L2-normalized, the two branches are concatenated with fixed equal scaling, and the fused descriptors are normalized again. A category-specific memory is then built exclusively from K normal reference images, and anomaly scores are obtained by one-nearest-neighbor search. No text embedding, abnormal target-domain sample, target-domain fine-tuning, or test-label-derived decision rule is used.</w:t>
      </w:r>
    </w:p>
    <w:p>
      <w:pPr>
        <w:spacing w:before="0" w:after="120" w:line="300" w:lineRule="auto"/>
        <w:ind w:firstLine="360"/>
        <w:jc w:val="both"/>
      </w:pPr>
      <w:r>
        <w:rPr>
          <w:rFonts w:ascii="Times New Roman" w:hAnsi="Times New Roman" w:eastAsia="Times New Roman"/>
          <w:color w:val="000000"/>
          <w:sz w:val="22"/>
        </w:rPr>
        <w:t>The frozen method is evaluated on four industrial datasets under 1-, 2-, and 4-shot protocols with three reference-sampling seeds. Relative to a matched DINO-only pipeline that shares the same reference identities, memory construction, nearest-neighbor scoring, post-processing, and evaluator, DCFnet yields positive mean Pixel-AP gains in every one of the 36 dataset-level seed/shot configurations. The dataset-level mean gains are 0.0258 on MPDD, 0.0249 on BTAD, 0.0524 on VisA, and 0.0320 on MVTec AD. The evidence is deliberately qualified: some categories exhibit persistent negative transfer, BTAD does not improve on every image-level metric, and the second encoder introduces non-negligible latency. Thus, the paper does not claim universal superiority or state-of-the-art performance.</w:t>
      </w:r>
    </w:p>
    <w:p>
      <w:pPr>
        <w:keepNext/>
        <w:spacing w:before="0" w:after="80" w:line="300" w:lineRule="auto"/>
        <w:jc w:val="both"/>
      </w:pPr>
      <w:r>
        <w:rPr>
          <w:rFonts w:ascii="Times New Roman" w:hAnsi="Times New Roman" w:eastAsia="Times New Roman"/>
          <w:color w:val="000000"/>
          <w:sz w:val="22"/>
        </w:rPr>
        <w:t>The contributions of this work are summarized as follows:</w:t>
      </w:r>
    </w:p>
    <w:p>
      <w:pPr>
        <w:pStyle w:val="ListBullet"/>
        <w:spacing w:after="80" w:line="290" w:lineRule="auto"/>
        <w:ind w:left="720" w:hanging="360"/>
      </w:pPr>
      <w:r>
        <w:rPr>
          <w:rFonts w:ascii="Times New Roman" w:hAnsi="Times New Roman" w:eastAsia="Times New Roman"/>
          <w:color w:val="000000"/>
          <w:sz w:val="22"/>
        </w:rPr>
        <w:t>A deterministic dual-encoder calibration and fusion pipeline that aligns heterogeneous patch grids, equalizes branch magnitudes, and combines frozen DINOv2 and DPAM-modified CLIP visual features without a learned fusion module, text input, or target-domain parameter training.</w:t>
      </w:r>
    </w:p>
    <w:p>
      <w:pPr>
        <w:pStyle w:val="ListBullet"/>
        <w:spacing w:after="80" w:line="290" w:lineRule="auto"/>
        <w:ind w:left="720" w:hanging="360"/>
      </w:pPr>
      <w:r>
        <w:rPr>
          <w:rFonts w:ascii="Times New Roman" w:hAnsi="Times New Roman" w:eastAsia="Times New Roman"/>
          <w:color w:val="000000"/>
          <w:sz w:val="22"/>
        </w:rPr>
        <w:t>A matched experimental design that isolates the effect of the second visual representation while keeping normal references, nearest-neighbor scoring, post-processing, and evaluation unchanged across four industrial datasets, three reference seeds, and three shot levels.</w:t>
      </w:r>
    </w:p>
    <w:p>
      <w:pPr>
        <w:pStyle w:val="ListBullet"/>
        <w:spacing w:after="80" w:line="290" w:lineRule="auto"/>
        <w:ind w:left="720" w:hanging="360"/>
      </w:pPr>
      <w:r>
        <w:rPr>
          <w:rFonts w:ascii="Times New Roman" w:hAnsi="Times New Roman" w:eastAsia="Times New Roman"/>
          <w:color w:val="000000"/>
          <w:sz w:val="22"/>
        </w:rPr>
        <w:t>An evaluation that reports image- and pixel-level results, reference-seed variability, category-specific negative transfer, and computational cost, with explicit data roles and reproducible artifacts.</w:t>
      </w:r>
    </w:p>
    <w:p>
      <w:pPr>
        <w:pStyle w:val="Heading1"/>
        <w:keepNext/>
      </w:pPr>
      <w:r>
        <w:rPr>
          <w:rFonts w:ascii="Times New Roman" w:hAnsi="Times New Roman" w:eastAsia="Times New Roman"/>
          <w:b/>
          <w:color w:val="000000"/>
          <w:sz w:val="30"/>
        </w:rPr>
        <w:t>2. Related Work</w:t>
      </w:r>
    </w:p>
    <w:p>
      <w:pPr>
        <w:spacing w:before="0" w:after="120" w:line="300" w:lineRule="auto"/>
        <w:ind w:firstLine="360"/>
        <w:jc w:val="both"/>
      </w:pPr>
      <w:r>
        <w:rPr>
          <w:rFonts w:ascii="Times New Roman" w:hAnsi="Times New Roman" w:eastAsia="Times New Roman"/>
          <w:color w:val="000000"/>
          <w:sz w:val="22"/>
        </w:rPr>
        <w:t>Industrial anomaly detection methods can be grouped by how they represent normality: reconstruction and one-class learning, pretrained feature embeddings with normal memories, and foundation-model or hybrid approaches. These groups overlap, but they help distinguish the main design choices. Reconstruction methods measure image or feature residuals after fitting normal examples. Embedding methods compare query features with a normal distribution or memory, making reference coverage and descriptor quality central concerns. Foundation-model and hybrid methods exploit transferable representations, sometimes with prompts, auxiliary training data, or learned adapters. The following sections discuss representative methods and their relevance to normal-only few-shot inspection.</w:t>
      </w:r>
    </w:p>
    <w:p>
      <w:pPr>
        <w:pStyle w:val="Heading2"/>
        <w:keepNext/>
      </w:pPr>
      <w:r>
        <w:rPr>
          <w:rFonts w:ascii="Times New Roman" w:hAnsi="Times New Roman" w:eastAsia="Times New Roman"/>
          <w:b/>
          <w:color w:val="000000"/>
          <w:sz w:val="25"/>
        </w:rPr>
        <w:t>2.1 Reconstruction and One-Class Learning</w:t>
      </w:r>
    </w:p>
    <w:p>
      <w:pPr>
        <w:spacing w:before="0" w:after="120" w:line="300" w:lineRule="auto"/>
        <w:ind w:firstLine="360"/>
        <w:jc w:val="both"/>
      </w:pPr>
      <w:r>
        <w:rPr>
          <w:rFonts w:ascii="Times New Roman" w:hAnsi="Times New Roman" w:eastAsia="Times New Roman"/>
          <w:color w:val="000000"/>
          <w:sz w:val="22"/>
        </w:rPr>
        <w:t>Early visual-inspection systems relied on hand-engineered texture, edge, morphology, and statistical descriptors, followed by conventional classifiers or thresholding. Such pipelines can be efficient when imaging conditions and defect definitions are stable, but their task-specific features generalize poorly to new materials, illumination conditions, or previously unseen defect morphologies. Deep reconstruction methods replaced manual descriptors with autoencoders, generative models, and student-teacher networks trained on normal images. Their central assumption is that a model fitted to normality reconstructs or predicts normal regions accurately while producing larger residuals on anomalous content. This assumption provides a natural anomaly map, but high-capacity networks may also reconstruct defects, and separate optimization is usually required for each target category.</w:t>
      </w:r>
    </w:p>
    <w:p>
      <w:pPr>
        <w:spacing w:before="0" w:after="120" w:line="300" w:lineRule="auto"/>
        <w:ind w:firstLine="360"/>
        <w:jc w:val="both"/>
      </w:pPr>
      <w:commentRangeStart w:id="2"/>
      <w:r>
        <w:rPr>
          <w:rFonts w:ascii="Times New Roman" w:hAnsi="Times New Roman" w:eastAsia="Times New Roman"/>
          <w:color w:val="000000"/>
          <w:sz w:val="22"/>
        </w:rPr>
        <w:t>Recent studies refine feature learning and one-class discrimination in several ways. SLSG improves feature embeddings and one-class classification through generative pretraining, anomaly simulation, and graph reasoning [1]. RealNet uses realistic synthetic anomalies and feature selection to learn defect-sensitive representations [6]. DFD decomposes images into frequency components and trains dual discriminators to expose subtle abnormalities that may be weak in the spatial domain [7]. DMMGNet combines feature discrimination mapping, augmentation, and memory-bank mean guidance for few-shot training [2]. These approaches strengthen category-specific discrimination, but their learned components and synthetic anomaly assumptions differ from the target-domain training-free normal-reference setting considered here. These design choices can adapt the representation to the inspection task, but they introduce optimization requirements that must be considered when only a few normal examples are available.</w:t>
      </w:r>
      <w:commentRangeEnd w:id="2"/>
      <w:r>
        <w:rPr>
          <w:rStyle w:val="CommentReference"/>
        </w:rPr>
        <w:commentReference w:id="2"/>
      </w:r>
    </w:p>
    <w:p>
      <w:pPr>
        <w:pStyle w:val="Heading2"/>
        <w:keepNext/>
      </w:pPr>
      <w:r>
        <w:rPr>
          <w:rFonts w:ascii="Times New Roman" w:hAnsi="Times New Roman" w:eastAsia="Times New Roman"/>
          <w:b/>
          <w:color w:val="000000"/>
          <w:sz w:val="25"/>
        </w:rPr>
        <w:t>2.2 Feature Embedding and Normal-Memory Methods</w:t>
      </w:r>
    </w:p>
    <w:p>
      <w:pPr>
        <w:spacing w:before="0" w:after="120" w:line="300" w:lineRule="auto"/>
        <w:ind w:firstLine="360"/>
        <w:jc w:val="both"/>
      </w:pPr>
      <w:r>
        <w:rPr>
          <w:rFonts w:ascii="Times New Roman" w:hAnsi="Times New Roman" w:eastAsia="Times New Roman"/>
          <w:color w:val="000000"/>
          <w:sz w:val="22"/>
        </w:rPr>
        <w:t>Embedding-based methods avoid image reconstruction and instead measure deviations in a pretrained feature space. PaDiM models the distribution of normal patch embeddings with multivariate Gaussian statistics [8]. PatchCore stores a coreset of normal local features and scores query patches by nearest-neighbor distance, demonstrating that a simple memory can achieve strong localization [9]. This paradigm is especially compatible with normal-only inspection because it neither requires defect labels nor assumes a closed anomaly taxonomy. Its weakness is equally direct: when normal references are few, the memory may inadequately cover acceptable appearance variation, and the distance metric is only as informative as the underlying feature representation.</w:t>
      </w:r>
    </w:p>
    <w:p>
      <w:pPr>
        <w:spacing w:before="0" w:after="120" w:line="300" w:lineRule="auto"/>
        <w:ind w:firstLine="360"/>
        <w:jc w:val="both"/>
      </w:pPr>
      <w:r>
        <w:rPr>
          <w:rFonts w:ascii="Times New Roman" w:hAnsi="Times New Roman" w:eastAsia="Times New Roman"/>
          <w:color w:val="000000"/>
          <w:sz w:val="22"/>
        </w:rPr>
        <w:t>Few-shot work has consequently focused on expanding normal coverage or improving representation quality. FEAD transforms support features conditionally and constructs multi-frequency descriptors to compensate for sparse normal patterns [10]. The K-NG framework formulates few-shot online detection and updates a Neural Gas representation from an unlabeled stream while attempting to avoid contamination by anomalies [11]. PGAD combines global invariant and multiscale local features and explicitly calibrates differently distributed anomaly scores [4]. FastRef refines normal prototypes at test time and uses optimal transport to reduce the risk of absorbing anomalous query features [12]. These methods address reference scarcity through transformation, updating, multiscale modeling, or transductive refinement. DCFnet instead keeps the normal memory fixed and asks whether a second frozen representation provides a reproducible gain without query-conditioned adaptation.</w:t>
      </w:r>
    </w:p>
    <w:p>
      <w:pPr>
        <w:pStyle w:val="Heading2"/>
        <w:keepNext/>
      </w:pPr>
      <w:r>
        <w:rPr>
          <w:rFonts w:ascii="Times New Roman" w:hAnsi="Times New Roman" w:eastAsia="Times New Roman"/>
          <w:b/>
          <w:color w:val="000000"/>
          <w:sz w:val="25"/>
        </w:rPr>
        <w:t>2.3 Foundation Models for Few-Shot Anomaly Detection</w:t>
      </w:r>
    </w:p>
    <w:p>
      <w:pPr>
        <w:spacing w:before="0" w:after="120" w:line="300" w:lineRule="auto"/>
        <w:ind w:firstLine="360"/>
        <w:jc w:val="both"/>
      </w:pPr>
      <w:r>
        <w:rPr>
          <w:rFonts w:ascii="Times New Roman" w:hAnsi="Times New Roman" w:eastAsia="Times New Roman"/>
          <w:color w:val="000000"/>
          <w:sz w:val="22"/>
        </w:rPr>
        <w:t>Self-supervised visual foundation models have substantially changed the quality of transferable local descriptors. DINOv2 learns robust visual features without labels and transfers well across recognition and dense-prediction tasks [13]. AnomalyDINO applies frozen DINOv2 patches to few-shot anomaly detection and shows that straightforward patch comparison is already highly competitive [3]. UniVAD develops a training-free unified model that reasons over reference images across industrial, logical, and medical anomalies [14]. SubspaceAD fits a principal subspace to frozen DINOv2 patches and scores reconstruction residuals, providing a strong training-free alternative to direct nearest-neighbor memories [15]. DCP-SFR argues that deep structural representations may suppress shallow defect cues and refines them to preserve subtle anomalies [16]. Collectively, these studies show that feature selection, normal-space modeling, and cue preservation can be as important as the downstream anomaly scorer. They also establish a demanding visual-only baseline against which fusion must be assessed.</w:t>
      </w:r>
    </w:p>
    <w:p>
      <w:pPr>
        <w:spacing w:before="0" w:after="120" w:line="300" w:lineRule="auto"/>
        <w:ind w:firstLine="360"/>
        <w:jc w:val="both"/>
      </w:pPr>
      <w:r>
        <w:rPr>
          <w:rFonts w:ascii="Times New Roman" w:hAnsi="Times New Roman" w:eastAsia="Times New Roman"/>
          <w:color w:val="000000"/>
          <w:sz w:val="22"/>
        </w:rPr>
        <w:t>Vision-language pretraining offers another route to transfer. CLIP learns aligned image and text embeddings from large-scale image-text supervision [17]. WinCLIP uses prompt ensembles, window-level visual features, and optional normal references for zero- and few-shot anomaly classification and segmentation [18]. AnomalyCLIP replaces object-specific descriptions with object-agnostic prompts learned for normality and abnormality [19], whereas PromptAD learns prompts using only normal target samples [20]. InCTRL performs in-context residual learning with few-shot sample prompts [21]. AA-CLIP introduces anomaly-aware text anchors and patch-level visual alignment [22], and FAPrompt decomposes coarse abnormality descriptions into fine-grained prompt components [23]. These methods improve semantic transfer, but most retain text-conditioned scoring or learned prompt parameters. DCFnet uses only the frozen DPAM-modified CLIP image encoder at inference; it is therefore a dual-visual-encoder method rather than a vision-text inference system.</w:t>
      </w:r>
    </w:p>
    <w:p>
      <w:pPr>
        <w:pStyle w:val="Heading2"/>
        <w:keepNext/>
      </w:pPr>
      <w:r>
        <w:rPr>
          <w:rFonts w:ascii="Times New Roman" w:hAnsi="Times New Roman" w:eastAsia="Times New Roman"/>
          <w:b/>
          <w:color w:val="000000"/>
          <w:sz w:val="25"/>
        </w:rPr>
        <w:t>2.4 Hybrid Fusion and the Position of This Work</w:t>
      </w:r>
    </w:p>
    <w:p>
      <w:pPr>
        <w:spacing w:before="0" w:after="120" w:line="300" w:lineRule="auto"/>
        <w:ind w:firstLine="360"/>
        <w:jc w:val="both"/>
      </w:pPr>
      <w:r>
        <w:rPr>
          <w:rFonts w:ascii="Times New Roman" w:hAnsi="Times New Roman" w:eastAsia="Times New Roman"/>
          <w:color w:val="000000"/>
          <w:sz w:val="22"/>
        </w:rPr>
        <w:t>Recent hybrid studies are the closest methodological context. ReMP-AD combines retrieval-enhanced normal references with multimodal prompt fusion [24]. A multimodal cooperative-refinement framework jointly refines text prompts, spatial features, frequency features, and decision-level fusion [25]. Sea-CLIP combines CLIP and DINOv2 with trainable prompts, synthetic anomalies, and a learned matching decoder [5]. PAPL integrates CLIP and DINO-family hierarchical features through prompt distribution learning and adaptive pooling [26], while a CLIP-DINOv2 framework uses trained dual-modality attention and stabilized pooling for zero-shot transfer [27]. Real-IAD further shows why such methods must be tested beyond small or potentially saturated benchmarks: it introduces a substantially larger, multiview industrial dataset with broader real-world variation [28].</w:t>
      </w:r>
    </w:p>
    <w:p>
      <w:pPr>
        <w:spacing w:before="0" w:after="120" w:line="300" w:lineRule="auto"/>
        <w:ind w:firstLine="360"/>
        <w:jc w:val="both"/>
      </w:pPr>
      <w:r>
        <w:rPr>
          <w:rFonts w:ascii="Times New Roman" w:hAnsi="Times New Roman" w:eastAsia="Times New Roman"/>
          <w:color w:val="000000"/>
          <w:sz w:val="22"/>
        </w:rPr>
        <w:t>The literature establishes several ways to combine visual representations with learned adaptation. In these systems, the contribution of encoder complementarity must be distinguished from that of prompt optimization, synthetic data, attention modules, or test-time refinement. A fixed combination removes some of these factors but still requires spatial alignment and compatible feature scales, and it may produce negative transfer. DCFnet examines this restricted setting. It does not claim the first use of CLIP- and DINO-family representations. Instead, it specifies a deterministic spatial-alignment and magnitude-normalization pipeline and evaluates the addition of the second frozen image representation under a matched normal-memory detector. Reference-seed variability, category-level failures, and computational cost are therefore necessary parts of the evaluation.</w:t>
      </w:r>
    </w:p>
    <w:p>
      <w:pPr>
        <w:pStyle w:val="Heading1"/>
        <w:keepNext/>
      </w:pPr>
      <w:r>
        <w:rPr>
          <w:rFonts w:ascii="Times New Roman" w:hAnsi="Times New Roman" w:eastAsia="Times New Roman"/>
          <w:b/>
          <w:color w:val="000000"/>
          <w:sz w:val="30"/>
        </w:rPr>
        <w:t>3. Detailed DCFnet</w:t>
      </w:r>
    </w:p>
    <w:p>
      <w:pPr>
        <w:pStyle w:val="Heading2"/>
        <w:keepNext/>
      </w:pPr>
      <w:r>
        <w:rPr>
          <w:rFonts w:ascii="Times New Roman" w:hAnsi="Times New Roman" w:eastAsia="Times New Roman"/>
          <w:b/>
          <w:color w:val="000000"/>
          <w:sz w:val="25"/>
        </w:rPr>
        <w:t>3.1 Problem Statement</w:t>
      </w:r>
    </w:p>
    <w:p>
      <w:pPr>
        <w:spacing w:before="0" w:after="120" w:line="300" w:lineRule="auto"/>
        <w:ind w:firstLine="360"/>
        <w:jc w:val="both"/>
      </w:pPr>
      <w:r>
        <w:rPr>
          <w:rFonts w:ascii="Times New Roman" w:hAnsi="Times New Roman" w:eastAsia="Times New Roman"/>
          <w:color w:val="000000"/>
          <w:sz w:val="22"/>
        </w:rPr>
        <w:t>Let c denote an industrial product category and let R_c = {x_1^c, ..., x_K^c} be a support set containing K verified normal images, where K is in {1, 2, 4}. No abnormal target-domain image is available for fitting the detector. Given a query image x, the objective is to estimate a nonnegative evaluation map S_448(x) of size 448 x 448 and a nonnegative image-level anomaly score s_img(x). Larger values should indicate a greater departure from the normal appearance represented by R_c. The method addresses binary normal-versus-anomalous inspection and spatial localization; it does not predict a closed defect label such as scratch, crack, hole, or stain. Pixel masks and image labels are used only for evaluation and never for feature fusion, memory construction, threshold selection, or reference sampling.</w:t>
      </w:r>
    </w:p>
    <w:p>
      <w:pPr>
        <w:spacing w:before="0" w:after="120" w:line="300" w:lineRule="auto"/>
        <w:ind w:firstLine="360"/>
        <w:jc w:val="both"/>
      </w:pPr>
      <w:r>
        <w:rPr>
          <w:rFonts w:ascii="Times New Roman" w:hAnsi="Times New Roman" w:eastAsia="Times New Roman"/>
          <w:color w:val="000000"/>
          <w:sz w:val="22"/>
        </w:rPr>
        <w:t>For a query pixel u, let y_u in {0, 1} denote its evaluation-only ground-truth status. The desired scoring function ranks anomalous pixels above normal pixels as often as possible, while remaining applicable to previously unseen defect types. Because no exhaustive anomaly distribution can be estimated from R_c, DCFnet models normality rather than learning an explicit multiclass decision boundary. The same category-specific support set is used by DCFnet and the matched DINO-only control, so their difference can be attributed to the additional frozen representation and its calibration path.</w:t>
      </w:r>
    </w:p>
    <w:p>
      <w:pPr>
        <w:pStyle w:val="Heading2"/>
        <w:keepNext/>
      </w:pPr>
      <w:r>
        <w:rPr>
          <w:rFonts w:ascii="Times New Roman" w:hAnsi="Times New Roman" w:eastAsia="Times New Roman"/>
          <w:b/>
          <w:color w:val="000000"/>
          <w:sz w:val="25"/>
        </w:rPr>
        <w:t>3.2 Overview Structure</w:t>
      </w:r>
    </w:p>
    <w:p>
      <w:pPr>
        <w:spacing w:before="0" w:after="120" w:line="300" w:lineRule="auto"/>
        <w:ind w:firstLine="360"/>
        <w:jc w:val="both"/>
      </w:pPr>
      <w:r>
        <w:rPr>
          <w:rFonts w:ascii="Times New Roman" w:hAnsi="Times New Roman" w:eastAsia="Times New Roman"/>
          <w:color w:val="000000"/>
          <w:sz w:val="22"/>
        </w:rPr>
        <w:t>DCFnet contains four deterministic stages: frozen dual-encoder extraction, cross-encoder spatial calibration, branch-wise magnitude calibration and fixed fusion, and nearest-neighbor normal-memory scoring. The support and query paths share the same feature extractor but serve different roles. Support images populate the category-specific memory once; a query image is never inserted into that memory. Each query patch is compared with the fixed support memory, and the resulting patch scores are bilinearly upsampled and then Gaussian-smoothed to obtain the pixel-level anomaly map. Figure 1 specifies this separation explicitly.</w:t>
      </w:r>
    </w:p>
    <w:p>
      <w:pPr>
        <w:keepNext/>
        <w:spacing w:before="160" w:after="80"/>
        <w:jc w:val="center"/>
      </w:pPr>
      <w:r>
        <w:drawing>
          <wp:inline xmlns:a="http://schemas.openxmlformats.org/drawingml/2006/main" xmlns:pic="http://schemas.openxmlformats.org/drawingml/2006/picture">
            <wp:extent cx="5897880" cy="3009397"/>
            <wp:docPr id="1" name="Picture 1" title="DCFnet architecture" descr="Two-lane workflow of DCFnet. Normal support images construct a fixed category memory, while a query image is processed separately by frozen DINOv2 and DPAM-modified CLIP visual encoders before exact nearest-neighbor anomaly scoring."/>
            <wp:cNvGraphicFramePr>
              <a:graphicFrameLocks noChangeAspect="1"/>
            </wp:cNvGraphicFramePr>
            <a:graphic>
              <a:graphicData uri="http://schemas.openxmlformats.org/drawingml/2006/picture">
                <pic:pic>
                  <pic:nvPicPr>
                    <pic:cNvPr id="0" name="DCFnet_Fig1_AI_reference_20260903.png"/>
                    <pic:cNvPicPr/>
                  </pic:nvPicPr>
                  <pic:blipFill>
                    <a:blip r:embed="rId11"/>
                    <a:stretch>
                      <a:fillRect/>
                    </a:stretch>
                  </pic:blipFill>
                  <pic:spPr>
                    <a:xfrm>
                      <a:off x="0" y="0"/>
                      <a:ext cx="5897880" cy="3009397"/>
                    </a:xfrm>
                    <a:prstGeom prst="rect"/>
                  </pic:spPr>
                </pic:pic>
              </a:graphicData>
            </a:graphic>
          </wp:inline>
        </w:drawing>
      </w:r>
    </w:p>
    <w:p>
      <w:pPr>
        <w:pStyle w:val="FigureCaption"/>
        <w:keepNext/>
        <w:keepLines/>
      </w:pPr>
      <w:r>
        <w:rPr>
          <w:rFonts w:ascii="Times New Roman" w:hAnsi="Times New Roman" w:eastAsia="Times New Roman"/>
          <w:color w:val="000000"/>
          <w:sz w:val="18"/>
        </w:rPr>
        <w:t>Fig. 1. Overall workflow of DCFnet. Normal support images construct a fixed category memory, whereas the query image follows a separate inference path. Both paths share frozen dual-encoder extraction, CLIP-to-DINO spatial alignment, branch-wise magnitude normalization, fixed equal-scaling concatenation, and global normalization. Query patches are compared with the fixed memory before bilinear upsampling and Gaussian smoothing produce the final anomaly map.</w:t>
      </w:r>
    </w:p>
    <w:p>
      <w:pPr>
        <w:pStyle w:val="Heading2"/>
        <w:keepNext/>
      </w:pPr>
      <w:r>
        <w:rPr>
          <w:rFonts w:ascii="Times New Roman" w:hAnsi="Times New Roman" w:eastAsia="Times New Roman"/>
          <w:b/>
          <w:color w:val="000000"/>
          <w:sz w:val="25"/>
        </w:rPr>
        <w:t>3.3 Frozen Dual-Encoder Visual Representation</w:t>
      </w:r>
    </w:p>
    <w:p>
      <w:pPr>
        <w:spacing w:before="0" w:after="120" w:line="300" w:lineRule="auto"/>
        <w:ind w:firstLine="360"/>
        <w:jc w:val="both"/>
      </w:pPr>
      <w:r>
        <w:rPr>
          <w:rFonts w:ascii="Times New Roman" w:hAnsi="Times New Roman" w:eastAsia="Times New Roman"/>
          <w:color w:val="000000"/>
          <w:sz w:val="22"/>
        </w:rPr>
        <w:t>The first branch is a frozen DINOv2 ViT-B/14 encoder [13]. An input is resized according to the fixed pipeline with a target short-side resolution of 448 pixels and cropped so that each spatial dimension is divisible by the patch size of 14. The resulting grid is denoted by h_D x w_D; its shorter dimension is 32 patches, and each patch descriptor has dimension d_D = 768. DINOv2 is selected because its self-supervised objective produces transferable dense visual descriptors and because DINO-based patch comparison is a strong few-shot baseline [3]. The branch is not fine-tuned on any of the four target datasets.</w:t>
      </w:r>
    </w:p>
    <w:p>
      <w:pPr>
        <w:spacing w:before="0" w:after="120" w:line="300" w:lineRule="auto"/>
        <w:ind w:firstLine="360"/>
        <w:jc w:val="both"/>
      </w:pPr>
      <w:r>
        <w:rPr>
          <w:rFonts w:ascii="Times New Roman" w:hAnsi="Times New Roman" w:eastAsia="Times New Roman"/>
          <w:color w:val="000000"/>
          <w:sz w:val="22"/>
        </w:rPr>
        <w:t>The second branch is a frozen CLIP ViT-L/14@336 visual encoder configured with AnomalyCLIP's diagonally prominent attention map (DPAM) modification [19]. It receives a 518 x 518 input and produces a 37 x 37 grid of 768-dimensional local descriptors. The extractor requests the outputs of visual layers 6, 12, 18, and 24 with DPAM_layer set to 20 and retains the final returned patch tensor, corresponding to layer 24. Only image features are retained. No text prompt, text-encoder output, normal-versus-abnormal language similarity, or dynamic vision-language routing is computed during DCFnet inference. The branch is used to test whether CLIP-pretrained local descriptors processed by a fixed DPAM attention path provide information complementary to self-supervised DINOv2 descriptors. This motivation does not assume that complementarity holds for every category; that question is evaluated rather than built into the method.</w:t>
      </w:r>
    </w:p>
    <w:p>
      <w:pPr>
        <w:pStyle w:val="Heading2"/>
        <w:keepNext/>
      </w:pPr>
      <w:r>
        <w:rPr>
          <w:rFonts w:ascii="Times New Roman" w:hAnsi="Times New Roman" w:eastAsia="Times New Roman"/>
          <w:b/>
          <w:color w:val="000000"/>
          <w:sz w:val="25"/>
        </w:rPr>
        <w:t>3.4 Spatial Calibration and Fixed Feature Fusion</w:t>
      </w:r>
    </w:p>
    <w:p>
      <w:pPr>
        <w:spacing w:before="0" w:after="120" w:line="300" w:lineRule="auto"/>
        <w:ind w:firstLine="360"/>
        <w:jc w:val="both"/>
      </w:pPr>
      <w:r>
        <w:rPr>
          <w:rFonts w:ascii="Times New Roman" w:hAnsi="Times New Roman" w:eastAsia="Times New Roman"/>
          <w:color w:val="000000"/>
          <w:sz w:val="22"/>
        </w:rPr>
        <w:t>Let F_D(x) and F_C(x) denote the 768-dimensional DINOv2 and DPAM-modified CLIP patch tensors on grids of size h_D x w_D and h_C x w_C, respectively. Patch-wise concatenation requires a common spatial grid because the two encoders produce different grid sizes. We therefore apply a bilinear grid-resizing operator R(·) to F_C(x), with align_corners set to false, producing F_C-to-D(x) = R(F_C(x)) on the h_D x w_D grid. This spatial calibration preserves the DINO grid as the reference lattice and uses bilinear interpolation rather than discrete nearest-cell assignment. It aligns the grid dimensions without implying exact correspondence between the encoders' receptive fields.</w:t>
      </w:r>
    </w:p>
    <w:p>
      <w:pPr>
        <w:spacing w:before="0" w:after="120" w:line="300" w:lineRule="auto"/>
        <w:ind w:firstLine="360"/>
        <w:jc w:val="both"/>
      </w:pPr>
      <w:r>
        <w:rPr>
          <w:rFonts w:ascii="Times New Roman" w:hAnsi="Times New Roman" w:eastAsia="Times New Roman"/>
          <w:color w:val="000000"/>
          <w:sz w:val="22"/>
        </w:rPr>
        <w:t>Spatial alignment does not remove differences in feature magnitude. For every patch p, each branch is independently L2-normalized before the calibrated branches are concatenated with fixed alpha = 0.5 and normalized again:</w:t>
      </w:r>
    </w:p>
    <w:p>
      <w:pPr>
        <w:spacing w:before="100" w:after="140"/>
        <w:jc w:val="center"/>
      </w:pPr>
      <m:oMathPara>
        <m:oMath>
          <m:sSub>
            <m:e>
              <m:r>
                <m:t>g</m:t>
              </m:r>
            </m:e>
            <m:sub>
              <m:r>
                <m:t>D,p</m:t>
              </m:r>
            </m:sub>
          </m:sSub>
          <m:r>
            <m:t> = </m:t>
          </m:r>
          <m:sSub>
            <m:e>
              <m:r>
                <m:t>f</m:t>
              </m:r>
            </m:e>
            <m:sub>
              <m:r>
                <m:t>D,p</m:t>
              </m:r>
            </m:sub>
          </m:sSub>
          <m:r>
            <m:t> / max(‖</m:t>
          </m:r>
          <m:sSub>
            <m:e>
              <m:r>
                <m:t>f</m:t>
              </m:r>
            </m:e>
            <m:sub>
              <m:r>
                <m:t>D,p</m:t>
              </m:r>
            </m:sub>
          </m:sSub>
          <m:sSub>
            <m:e>
              <m:r>
                <m:t>‖</m:t>
              </m:r>
            </m:e>
            <m:sub>
              <m:r>
                <m:t>2</m:t>
              </m:r>
            </m:sub>
          </m:sSub>
          <m:r>
            <m:t>, ε),    </m:t>
          </m:r>
          <m:sSub>
            <m:e>
              <m:r>
                <m:t>g</m:t>
              </m:r>
            </m:e>
            <m:sub>
              <m:r>
                <m:t>C,p</m:t>
              </m:r>
            </m:sub>
          </m:sSub>
          <m:r>
            <m:t> = </m:t>
          </m:r>
          <m:sSub>
            <m:e>
              <m:r>
                <m:t>f</m:t>
              </m:r>
            </m:e>
            <m:sub>
              <m:r>
                <m:t>C→D,p</m:t>
              </m:r>
            </m:sub>
          </m:sSub>
          <m:r>
            <m:t> / max(‖</m:t>
          </m:r>
          <m:sSub>
            <m:e>
              <m:r>
                <m:t>f</m:t>
              </m:r>
            </m:e>
            <m:sub>
              <m:r>
                <m:t>C→D,p</m:t>
              </m:r>
            </m:sub>
          </m:sSub>
          <m:sSub>
            <m:e>
              <m:r>
                <m:t>‖</m:t>
              </m:r>
            </m:e>
            <m:sub>
              <m:r>
                <m:t>2</m:t>
              </m:r>
            </m:sub>
          </m:sSub>
          <m:r>
            <m:t>, ε).</m:t>
          </m:r>
        </m:oMath>
      </m:oMathPara>
    </w:p>
    <w:p>
      <w:pPr>
        <w:spacing w:before="100" w:after="140"/>
        <w:jc w:val="center"/>
      </w:pPr>
      <m:oMathPara>
        <m:oMath>
          <m:sSub>
            <m:e>
              <m:r>
                <m:t>f</m:t>
              </m:r>
            </m:e>
            <m:sub>
              <m:r>
                <m:t>A,p</m:t>
              </m:r>
            </m:sub>
          </m:sSub>
          <m:r>
            <m:t> = Norm([α </m:t>
          </m:r>
          <m:sSub>
            <m:e>
              <m:r>
                <m:t>g</m:t>
              </m:r>
            </m:e>
            <m:sub>
              <m:r>
                <m:t>D,p</m:t>
              </m:r>
            </m:sub>
          </m:sSub>
          <m:r>
            <m:t> ; (1 − α) </m:t>
          </m:r>
          <m:sSub>
            <m:e>
              <m:r>
                <m:t>g</m:t>
              </m:r>
            </m:e>
            <m:sub>
              <m:r>
                <m:t>C,p</m:t>
              </m:r>
            </m:sub>
          </m:sSub>
          <m:r>
            <m:t>]),    α = 0.5,    dim(</m:t>
          </m:r>
          <m:sSub>
            <m:e>
              <m:r>
                <m:t>f</m:t>
              </m:r>
            </m:e>
            <m:sub>
              <m:r>
                <m:t>A,p</m:t>
              </m:r>
            </m:sub>
          </m:sSub>
          <m:r>
            <m:t>) = 1536.</m:t>
          </m:r>
        </m:oMath>
      </m:oMathPara>
    </w:p>
    <w:p>
      <w:pPr>
        <w:spacing w:before="0" w:after="120" w:line="300" w:lineRule="auto"/>
        <w:ind w:firstLine="360"/>
        <w:jc w:val="both"/>
      </w:pPr>
      <w:r>
        <w:rPr>
          <w:rFonts w:ascii="Times New Roman" w:hAnsi="Times New Roman" w:eastAsia="Times New Roman"/>
          <w:color w:val="000000"/>
          <w:sz w:val="22"/>
        </w:rPr>
        <w:t>The equal coefficients are frozen protocol constants, not learned gates. Because the complete concatenated vector is renormalized, the construction should be interpreted as equal branch scaling before a joint distance computation, rather than as a probabilistic average of two anomaly scores. The operation yields a 1536-dimensional descriptor at every DINO-grid location. In this manuscript, calibrated fusion therefore has a precise and limited meaning: resolution alignment plus branch-wise magnitude normalization before fixed feature concatenation.</w:t>
      </w:r>
    </w:p>
    <w:p>
      <w:pPr>
        <w:pStyle w:val="Heading2"/>
        <w:keepNext/>
      </w:pPr>
      <w:r>
        <w:rPr>
          <w:rFonts w:ascii="Times New Roman" w:hAnsi="Times New Roman" w:eastAsia="Times New Roman"/>
          <w:b/>
          <w:color w:val="000000"/>
          <w:sz w:val="25"/>
        </w:rPr>
        <w:t>3.5 Normal Reference Memory and Anomaly Scoring</w:t>
      </w:r>
    </w:p>
    <w:p>
      <w:pPr>
        <w:spacing w:before="0" w:after="120" w:line="300" w:lineRule="auto"/>
        <w:ind w:firstLine="360"/>
        <w:jc w:val="both"/>
      </w:pPr>
      <w:r>
        <w:rPr>
          <w:rFonts w:ascii="Times New Roman" w:hAnsi="Times New Roman" w:eastAsia="Times New Roman"/>
          <w:color w:val="000000"/>
          <w:sz w:val="22"/>
        </w:rPr>
        <w:t>For category c, the fused normal memory is the union of all calibrated patch descriptors extracted from its K support images:</w:t>
      </w:r>
    </w:p>
    <w:p>
      <w:pPr>
        <w:spacing w:before="100" w:after="140"/>
        <w:jc w:val="center"/>
      </w:pPr>
      <m:oMathPara>
        <m:oMath>
          <m:sSub>
            <m:e>
              <m:r>
                <m:t>M</m:t>
              </m:r>
            </m:e>
            <m:sub>
              <m:r>
                <m:t>c</m:t>
              </m:r>
            </m:sub>
          </m:sSub>
          <m:r>
            <m:t> = </m:t>
          </m:r>
          <m:sSubSup>
            <m:e>
              <m:r>
                <m:t>⋃</m:t>
              </m:r>
            </m:e>
            <m:sub>
              <m:r>
                <m:t>i=1</m:t>
              </m:r>
            </m:sub>
            <m:sup>
              <m:r>
                <m:t>K</m:t>
              </m:r>
            </m:sup>
          </m:sSubSup>
          <m:r>
            <m:t> { </m:t>
          </m:r>
          <m:sSub>
            <m:e>
              <m:r>
                <m:t>f</m:t>
              </m:r>
            </m:e>
            <m:sub>
              <m:r>
                <m:t>A,p</m:t>
              </m:r>
            </m:sub>
          </m:sSub>
          <m:r>
            <m:t>(</m:t>
          </m:r>
          <m:sSubSup>
            <m:e>
              <m:r>
                <m:t>x</m:t>
              </m:r>
            </m:e>
            <m:sub>
              <m:r>
                <m:t>i</m:t>
              </m:r>
            </m:sub>
            <m:sup>
              <m:r>
                <m:t>c</m:t>
              </m:r>
            </m:sup>
          </m:sSubSup>
          <m:r>
            <m:t>) | p ∈ </m:t>
          </m:r>
          <m:sSub>
            <m:e>
              <m:r>
                <m:t>G</m:t>
              </m:r>
            </m:e>
            <m:sub>
              <m:r>
                <m:t>D</m:t>
              </m:r>
            </m:sub>
          </m:sSub>
          <m:r>
            <m:t> }.</m:t>
          </m:r>
        </m:oMath>
      </m:oMathPara>
    </w:p>
    <w:p>
      <w:pPr>
        <w:spacing w:before="0" w:after="120" w:line="300" w:lineRule="auto"/>
        <w:ind w:firstLine="360"/>
        <w:jc w:val="both"/>
      </w:pPr>
      <w:r>
        <w:rPr>
          <w:rFonts w:ascii="Times New Roman" w:hAnsi="Times New Roman" w:eastAsia="Times New Roman"/>
          <w:color w:val="000000"/>
          <w:sz w:val="22"/>
        </w:rPr>
        <w:t>The descriptors are stored in an exact FAISS IndexFlatL2 index [29]. For query patch p, the squared Euclidean distance to its nearest normal descriptor defines the raw anomaly score:</w:t>
      </w:r>
    </w:p>
    <w:p>
      <w:pPr>
        <w:spacing w:before="100" w:after="140"/>
        <w:jc w:val="center"/>
      </w:pPr>
      <m:oMathPara>
        <m:oMath>
          <m:sSub>
            <m:e>
              <m:r>
                <m:t>a</m:t>
              </m:r>
            </m:e>
            <m:sub>
              <m:r>
                <m:t>p</m:t>
              </m:r>
            </m:sub>
          </m:sSub>
          <m:r>
            <m:t>(x) = </m:t>
          </m:r>
          <m:f>
            <m:num>
              <m:r>
                <m:t>1</m:t>
              </m:r>
            </m:num>
            <m:den>
              <m:r>
                <m:t>2</m:t>
              </m:r>
            </m:den>
          </m:f>
          <m:r>
            <m:t> </m:t>
          </m:r>
          <m:sSub>
            <m:e>
              <m:r>
                <m:t>min</m:t>
              </m:r>
            </m:e>
            <m:sub>
              <m:r>
                <m:t>m∈M_c</m:t>
              </m:r>
            </m:sub>
          </m:sSub>
          <m:r>
            <m:t> </m:t>
          </m:r>
          <m:sSubSup>
            <m:e>
              <m:r>
                <m:t>‖</m:t>
              </m:r>
              <m:sSub>
                <m:e>
                  <m:r>
                    <m:t>f</m:t>
                  </m:r>
                </m:e>
                <m:sub>
                  <m:r>
                    <m:t>A,p</m:t>
                  </m:r>
                </m:sub>
              </m:sSub>
              <m:r>
                <m:t>(x) − m‖</m:t>
              </m:r>
            </m:e>
            <m:sub>
              <m:r>
                <m:t>2</m:t>
              </m:r>
            </m:sub>
            <m:sup>
              <m:r>
                <m:t>2</m:t>
              </m:r>
            </m:sup>
          </m:sSubSup>
          <m:r>
            <m:t>.</m:t>
          </m:r>
        </m:oMath>
      </m:oMathPara>
    </w:p>
    <w:p>
      <w:pPr>
        <w:spacing w:before="0" w:after="120" w:line="300" w:lineRule="auto"/>
        <w:ind w:firstLine="360"/>
        <w:jc w:val="both"/>
      </w:pPr>
      <w:r>
        <w:rPr>
          <w:rFonts w:ascii="Times New Roman" w:hAnsi="Times New Roman" w:eastAsia="Times New Roman"/>
          <w:color w:val="000000"/>
          <w:sz w:val="22"/>
        </w:rPr>
        <w:t>All fused descriptors are unit-normalized; consequently, one half of their squared Euclidean distance equals cosine distance. The factor 1/2 therefore preserves a convenient distance interpretation without changing score ordering. The patch scores are arranged on the DINO grid, bilinearly resized to 448 x 448, and then filtered with a Gaussian kernel of sigma = 4 to produce S_448(x). The image-level score is obtained by maximum pooling, s_img(x) = max_u S_448,u(x), so that a strongly anomalous local region can trigger image-level inspection. This aggregation is fixed for DCFnet and the matched control.</w:t>
      </w:r>
    </w:p>
    <w:p>
      <w:pPr>
        <w:pStyle w:val="Heading2"/>
        <w:keepNext/>
      </w:pPr>
      <w:r>
        <w:rPr>
          <w:rFonts w:ascii="Times New Roman" w:hAnsi="Times New Roman" w:eastAsia="Times New Roman"/>
          <w:b/>
          <w:color w:val="000000"/>
          <w:sz w:val="25"/>
        </w:rPr>
        <w:t>3.6 Matched Control, Complexity, and Protocol Integrity</w:t>
      </w:r>
    </w:p>
    <w:p>
      <w:pPr>
        <w:spacing w:before="0" w:after="120" w:line="300" w:lineRule="auto"/>
        <w:ind w:firstLine="360"/>
        <w:jc w:val="both"/>
      </w:pPr>
      <w:r>
        <w:rPr>
          <w:rFonts w:ascii="Times New Roman" w:hAnsi="Times New Roman" w:eastAsia="Times New Roman"/>
          <w:color w:val="000000"/>
          <w:sz w:val="22"/>
        </w:rPr>
        <w:t>The matched DINO-only control removes the DPAM-modified CLIP branch and the concatenation step but retains the identical DINOv2 descriptors, support-image identities, K values, random seeds, exact one-nearest-neighbor search, distance convention, upsampling, Gaussian smoothing, and evaluation resolution. This design is essential: comparing DCFnet only with published numbers from methods using different checkpoints, data roles, or post-processing would not isolate the effect of feature fusion. The matched control instead changes a single factor: whether the calibrated second visual representation is present.</w:t>
      </w:r>
    </w:p>
    <w:p>
      <w:pPr>
        <w:spacing w:before="0" w:after="120" w:line="300" w:lineRule="auto"/>
        <w:ind w:firstLine="360"/>
        <w:jc w:val="both"/>
      </w:pPr>
      <w:r>
        <w:rPr>
          <w:rFonts w:ascii="Times New Roman" w:hAnsi="Times New Roman" w:eastAsia="Times New Roman"/>
          <w:color w:val="000000"/>
          <w:sz w:val="22"/>
        </w:rPr>
        <w:t>DCFnet introduces zero trainable parameters in the target-domain pipeline. This property eliminates optimization time but does not make inference free: both frozen encoders must execute, and the fused memory has twice the descriptor dimensionality of the DINO-only memory. If P = h_D w_D patches are retained per reference image, the category memory contains approximately KP vectors of dimension 1536, while exact search scales linearly with the stored memory size. Accordingly, the paper treats training cost, inference latency, and memory consumption as distinct quantities and does not claim zero computational overhead.</w:t>
      </w:r>
    </w:p>
    <w:p>
      <w:pPr>
        <w:spacing w:before="0" w:after="120" w:line="300" w:lineRule="auto"/>
        <w:ind w:firstLine="360"/>
        <w:jc w:val="both"/>
      </w:pPr>
      <w:r>
        <w:rPr>
          <w:rFonts w:ascii="Times New Roman" w:hAnsi="Times New Roman" w:eastAsia="Times New Roman"/>
          <w:color w:val="000000"/>
          <w:sz w:val="22"/>
        </w:rPr>
        <w:t>The evaluation distinguishes development data from validation data. We use the metal-part inspection dataset MPDD [30] for development. We then evaluate the frozen configuration on BTAD [31] as an external validation domain. MVTec AD [32] provides a second external validation domain covering industrial objects and textures. We report VisA [33] as a frozen in-domain validation set because of the lineage of the AnomalyCLIP checkpoint. It is not treated as independent evidence of external generalization. Test labels and pixel masks are reserved for evaluation, and the fusion coefficient, distance rule, and post-processing settings remain fixed during validation.</w:t>
      </w:r>
    </w:p>
    <w:p>
      <w:pPr>
        <w:pStyle w:val="Heading1"/>
        <w:keepNext/>
      </w:pPr>
      <w:r>
        <w:rPr>
          <w:rFonts w:ascii="Times New Roman" w:hAnsi="Times New Roman" w:eastAsia="Times New Roman"/>
          <w:b/>
          <w:color w:val="000000"/>
          <w:sz w:val="30"/>
        </w:rPr>
        <w:t>References</w:t>
      </w:r>
    </w:p>
    <w:p>
      <w:pPr>
        <w:spacing w:after="60" w:line="252" w:lineRule="auto"/>
        <w:ind w:left="360" w:hanging="360"/>
      </w:pPr>
      <w:r>
        <w:rPr>
          <w:rFonts w:ascii="Times New Roman" w:hAnsi="Times New Roman" w:eastAsia="Times New Roman"/>
          <w:color w:val="000000"/>
          <w:sz w:val="17"/>
        </w:rPr>
        <w:t>[1] M. Yang, J. Liu, Z. Yang, and Z. Wu, 'SLSG: Industrial image anomaly detection with improved feature embeddings and one-class classification,' Pattern Recognit., vol. 156, Art. no. 110862, 2024, doi: 10.1016/j.patcog.2024.110862.</w:t>
      </w:r>
    </w:p>
    <w:p>
      <w:pPr>
        <w:spacing w:after="60" w:line="252" w:lineRule="auto"/>
        <w:ind w:left="360" w:hanging="360"/>
      </w:pPr>
      <w:r>
        <w:rPr>
          <w:rFonts w:ascii="Times New Roman" w:hAnsi="Times New Roman" w:eastAsia="Times New Roman"/>
          <w:color w:val="000000"/>
          <w:sz w:val="17"/>
        </w:rPr>
        <w:t>[2] A. Luo, G. Wen, Y. Cheng, S. Mei, H. Dong, and X. Liu, 'DMMGNet: A discrimination mapping and memory bank mean guidance-based network for high-performance few-shot industrial anomaly detection,' Neurocomputing, vol. 610, Art. no. 128622, 2024, doi: 10.1016/j.neucom.2024.128622.</w:t>
      </w:r>
    </w:p>
    <w:p>
      <w:pPr>
        <w:spacing w:after="60" w:line="252" w:lineRule="auto"/>
        <w:ind w:left="360" w:hanging="360"/>
      </w:pPr>
      <w:r>
        <w:rPr>
          <w:rFonts w:ascii="Times New Roman" w:hAnsi="Times New Roman" w:eastAsia="Times New Roman"/>
          <w:color w:val="000000"/>
          <w:sz w:val="17"/>
        </w:rPr>
        <w:t>[3] S. Damm, M. Laszkiewicz, J. Lederer, and A. Fischer, 'AnomalyDINO: Boosting patch-based few-shot anomaly detection with DINOv2,' in Proc. IEEE/CVF Winter Conf. Appl. Comput. Vis. (WACV), 2025, pp. 1319-1329.</w:t>
      </w:r>
    </w:p>
    <w:p>
      <w:pPr>
        <w:spacing w:after="60" w:line="252" w:lineRule="auto"/>
        <w:ind w:left="360" w:hanging="360"/>
      </w:pPr>
      <w:r>
        <w:rPr>
          <w:rFonts w:ascii="Times New Roman" w:hAnsi="Times New Roman" w:eastAsia="Times New Roman"/>
          <w:color w:val="000000"/>
          <w:sz w:val="17"/>
        </w:rPr>
        <w:t>[4] J. Zhou, W. Wong, and F. Liao, 'One-shot unsupervised industrial anomaly detection: Enhanced performance under extreme data scarcity,' Pattern Recognit., vol. 173, Art. no. 112759, 2026, doi: 10.1016/j.patcog.2025.112759.</w:t>
      </w:r>
    </w:p>
    <w:p>
      <w:pPr>
        <w:spacing w:after="60" w:line="252" w:lineRule="auto"/>
        <w:ind w:left="360" w:hanging="360"/>
      </w:pPr>
      <w:r>
        <w:rPr>
          <w:rFonts w:ascii="Times New Roman" w:hAnsi="Times New Roman" w:eastAsia="Times New Roman"/>
          <w:color w:val="000000"/>
          <w:sz w:val="17"/>
        </w:rPr>
        <w:t>[5] X. Guo, Z. Chen, C. D. Castillo, H. Wang, and X. Liu, 'Sea-CLIP: Mining semantic-aware representations for few-shot anomaly detection with CLIP,' in Proc. IEEE/CVF Winter Conf. Appl. Comput. Vis. (WACV), 2026, pp. 3689-3699.</w:t>
      </w:r>
    </w:p>
    <w:p>
      <w:pPr>
        <w:spacing w:after="60" w:line="252" w:lineRule="auto"/>
        <w:ind w:left="360" w:hanging="360"/>
      </w:pPr>
      <w:r>
        <w:rPr>
          <w:rFonts w:ascii="Times New Roman" w:hAnsi="Times New Roman" w:eastAsia="Times New Roman"/>
          <w:color w:val="000000"/>
          <w:sz w:val="17"/>
        </w:rPr>
        <w:t>[6] X. Zhang, M. Xu, and X. Zhou, 'RealNet: A feature selection network with realistic synthetic anomaly for anomaly detection,' in Proc. IEEE/CVF Conf. Comput. Vis. Pattern Recognit. (CVPR), 2024, pp. 16699-16708.</w:t>
      </w:r>
    </w:p>
    <w:p>
      <w:pPr>
        <w:spacing w:after="60" w:line="252" w:lineRule="auto"/>
        <w:ind w:left="360" w:hanging="360"/>
      </w:pPr>
      <w:r>
        <w:rPr>
          <w:rFonts w:ascii="Times New Roman" w:hAnsi="Times New Roman" w:eastAsia="Times New Roman"/>
          <w:color w:val="000000"/>
          <w:sz w:val="17"/>
        </w:rPr>
        <w:t>[7] Y. Bai, J. Zhang, Z. Chen, Y. Dong, Y. Cao, and G. Tian, 'Dual-path frequency discriminators for few-shot anomaly detection,' Knowl.-Based Syst., vol. 302, Art. no. 112397, 2024, doi: 10.1016/j.knosys.2024.112397.</w:t>
      </w:r>
    </w:p>
    <w:p>
      <w:pPr>
        <w:spacing w:after="60" w:line="252" w:lineRule="auto"/>
        <w:ind w:left="360" w:hanging="360"/>
      </w:pPr>
      <w:r>
        <w:rPr>
          <w:rFonts w:ascii="Times New Roman" w:hAnsi="Times New Roman" w:eastAsia="Times New Roman"/>
          <w:color w:val="000000"/>
          <w:sz w:val="17"/>
        </w:rPr>
        <w:t>[8] T. Defard, A. Setkov, A. Loesch, and R. Audigier, 'PaDiM: A patch distribution modeling framework for anomaly detection and localization,' in Pattern Recognition. ICPR International Workshops and Challenges, 2021, pp. 475-489, doi: 10.1007/978-3-030-68799-1_35.</w:t>
      </w:r>
    </w:p>
    <w:p>
      <w:pPr>
        <w:spacing w:after="60" w:line="252" w:lineRule="auto"/>
        <w:ind w:left="360" w:hanging="360"/>
      </w:pPr>
      <w:r>
        <w:rPr>
          <w:rFonts w:ascii="Times New Roman" w:hAnsi="Times New Roman" w:eastAsia="Times New Roman"/>
          <w:color w:val="000000"/>
          <w:sz w:val="17"/>
        </w:rPr>
        <w:t>[9] K. Roth, L. Pemula, J. Zepeda, B. Scholkopf, T. Brox, and P. Gehler, 'Towards total recall in industrial anomaly detection,' in Proc. IEEE/CVF Conf. Comput. Vis. Pattern Recognit. (CVPR), 2022, pp. 14318-14328.</w:t>
      </w:r>
    </w:p>
    <w:p>
      <w:pPr>
        <w:spacing w:after="60" w:line="252" w:lineRule="auto"/>
        <w:ind w:left="360" w:hanging="360"/>
      </w:pPr>
      <w:r>
        <w:rPr>
          <w:rFonts w:ascii="Times New Roman" w:hAnsi="Times New Roman" w:eastAsia="Times New Roman"/>
          <w:color w:val="000000"/>
          <w:sz w:val="17"/>
        </w:rPr>
        <w:t>[10] Z. Hu, X. Zeng, Y. Li, Z. Yin, E. Meng, L. Zhu, and X. Kong, 'Few-shot anomaly detection with adaptive feature transformation and descriptor construction,' Chin. J. Aeronaut., vol. 38, no. 3, Art. no. 103098, 2025, doi: 10.1016/j.cja.2024.06.007.</w:t>
      </w:r>
    </w:p>
    <w:p>
      <w:pPr>
        <w:spacing w:after="60" w:line="252" w:lineRule="auto"/>
        <w:ind w:left="360" w:hanging="360"/>
      </w:pPr>
      <w:r>
        <w:rPr>
          <w:rFonts w:ascii="Times New Roman" w:hAnsi="Times New Roman" w:eastAsia="Times New Roman"/>
          <w:color w:val="000000"/>
          <w:sz w:val="17"/>
        </w:rPr>
        <w:t>[11] S. Wei, X. Wei, Z. Ma, S. Dong, S. Zhang, and Y. Gong, 'Few-shot online anomaly detection and segmentation,' Knowl.-Based Syst., vol. 300, Art. no. 112168, 2024, doi: 10.1016/j.knosys.2024.112168.</w:t>
      </w:r>
    </w:p>
    <w:p>
      <w:pPr>
        <w:spacing w:after="60" w:line="252" w:lineRule="auto"/>
        <w:ind w:left="360" w:hanging="360"/>
      </w:pPr>
      <w:r>
        <w:rPr>
          <w:rFonts w:ascii="Times New Roman" w:hAnsi="Times New Roman" w:eastAsia="Times New Roman"/>
          <w:color w:val="000000"/>
          <w:sz w:val="17"/>
        </w:rPr>
        <w:t>[12] Y. Li, L. Tian, Y. Dai, W. Chen, L. Bao, and X. Liu, 'FastRef: Fast prototype refinement for few-shot industrial anomaly detection,' in Proc. IEEE/CVF Conf. Comput. Vis. Pattern Recognit. (CVPR), 2026, pp. 43040-43049.</w:t>
      </w:r>
    </w:p>
    <w:p>
      <w:pPr>
        <w:spacing w:after="60" w:line="252" w:lineRule="auto"/>
        <w:ind w:left="360" w:hanging="360"/>
      </w:pPr>
      <w:r>
        <w:rPr>
          <w:rFonts w:ascii="Times New Roman" w:hAnsi="Times New Roman" w:eastAsia="Times New Roman"/>
          <w:color w:val="000000"/>
          <w:sz w:val="17"/>
        </w:rPr>
        <w:t>[13] M. Oquab et al., 'DINOv2: Learning robust visual features without supervision,' Trans. Mach. Learn. Res., 2024.</w:t>
      </w:r>
    </w:p>
    <w:p>
      <w:pPr>
        <w:spacing w:after="60" w:line="252" w:lineRule="auto"/>
        <w:ind w:left="360" w:hanging="360"/>
      </w:pPr>
      <w:r>
        <w:rPr>
          <w:rFonts w:ascii="Times New Roman" w:hAnsi="Times New Roman" w:eastAsia="Times New Roman"/>
          <w:color w:val="000000"/>
          <w:sz w:val="17"/>
        </w:rPr>
        <w:t>[14] Z. Gu, B. Zhu, G. Zhu, Y. Chen, M. Tang, and J. Wang, 'UniVAD: A training-free unified model for few-shot visual anomaly detection,' in Proc. IEEE/CVF Conf. Comput. Vis. Pattern Recognit. (CVPR), 2025, pp. 15194-15203.</w:t>
      </w:r>
    </w:p>
    <w:p>
      <w:pPr>
        <w:spacing w:after="60" w:line="252" w:lineRule="auto"/>
        <w:ind w:left="360" w:hanging="360"/>
      </w:pPr>
      <w:r>
        <w:rPr>
          <w:rFonts w:ascii="Times New Roman" w:hAnsi="Times New Roman" w:eastAsia="Times New Roman"/>
          <w:color w:val="000000"/>
          <w:sz w:val="17"/>
        </w:rPr>
        <w:t>[15] C. Lendering, E. Akdag, and E. Bondarau, 'SubspaceAD: Training-free few-shot anomaly detection via subspace modeling,' in Proc. IEEE/CVF Conf. Comput. Vis. Pattern Recognit. (CVPR), 2026, pp. 28557-28566.</w:t>
      </w:r>
    </w:p>
    <w:p>
      <w:pPr>
        <w:spacing w:after="60" w:line="252" w:lineRule="auto"/>
        <w:ind w:left="360" w:hanging="360"/>
      </w:pPr>
      <w:r>
        <w:rPr>
          <w:rFonts w:ascii="Times New Roman" w:hAnsi="Times New Roman" w:eastAsia="Times New Roman"/>
          <w:color w:val="000000"/>
          <w:sz w:val="17"/>
        </w:rPr>
        <w:t>[16] L. Jiang, Y. Huang, Z. Xu, Y. Xu, H.-S. Wong, and S. Wu, 'Defect cue-preserved structural feature refinement for few-shot anomaly detection,' in Proc. IEEE/CVF Conf. Comput. Vis. Pattern Recognit. (CVPR), 2026, pp. 35607-35616.</w:t>
      </w:r>
    </w:p>
    <w:p>
      <w:pPr>
        <w:spacing w:after="60" w:line="252" w:lineRule="auto"/>
        <w:ind w:left="360" w:hanging="360"/>
      </w:pPr>
      <w:r>
        <w:rPr>
          <w:rFonts w:ascii="Times New Roman" w:hAnsi="Times New Roman" w:eastAsia="Times New Roman"/>
          <w:color w:val="000000"/>
          <w:sz w:val="17"/>
        </w:rPr>
        <w:t>[17] A. Radford et al., 'Learning transferable visual models from natural language supervision,' in Proc. 38th Int. Conf. Mach. Learn., vol. 139, 2021, pp. 8748-8763.</w:t>
      </w:r>
    </w:p>
    <w:p>
      <w:pPr>
        <w:spacing w:after="60" w:line="252" w:lineRule="auto"/>
        <w:ind w:left="360" w:hanging="360"/>
      </w:pPr>
      <w:r>
        <w:rPr>
          <w:rFonts w:ascii="Times New Roman" w:hAnsi="Times New Roman" w:eastAsia="Times New Roman"/>
          <w:color w:val="000000"/>
          <w:sz w:val="17"/>
        </w:rPr>
        <w:t>[18] J. Jeong, Y. Zou, T. Kim, D. Zhang, A. Ravichandran, and O. Dabeer, 'WinCLIP: Zero-/few-shot anomaly classification and segmentation,' in Proc. IEEE/CVF Conf. Comput. Vis. Pattern Recognit. (CVPR), 2023, pp. 19606-19616.</w:t>
      </w:r>
    </w:p>
    <w:p>
      <w:pPr>
        <w:spacing w:after="60" w:line="252" w:lineRule="auto"/>
        <w:ind w:left="360" w:hanging="360"/>
      </w:pPr>
      <w:r>
        <w:rPr>
          <w:rFonts w:ascii="Times New Roman" w:hAnsi="Times New Roman" w:eastAsia="Times New Roman"/>
          <w:color w:val="000000"/>
          <w:sz w:val="17"/>
        </w:rPr>
        <w:t>[19] Q. Zhou, G. Pang, Y. Tian, S. He, and J. Chen, 'AnomalyCLIP: Object-agnostic prompt learning for zero-shot anomaly detection,' in Proc. Int. Conf. Learn. Represent. (ICLR), 2024.</w:t>
      </w:r>
    </w:p>
    <w:p>
      <w:pPr>
        <w:spacing w:after="60" w:line="252" w:lineRule="auto"/>
        <w:ind w:left="360" w:hanging="360"/>
      </w:pPr>
      <w:r>
        <w:rPr>
          <w:rFonts w:ascii="Times New Roman" w:hAnsi="Times New Roman" w:eastAsia="Times New Roman"/>
          <w:color w:val="000000"/>
          <w:sz w:val="17"/>
        </w:rPr>
        <w:t>[20] X. Li, Z. Zhang, X. Tan, C. Chen, Y. Qu, Y. Xie, and L. Ma, 'PromptAD: Learning prompts with only normal samples for few-shot anomaly detection,' in Proc. IEEE/CVF Conf. Comput. Vis. Pattern Recognit. (CVPR), 2024, pp. 16838-16848.</w:t>
      </w:r>
    </w:p>
    <w:p>
      <w:pPr>
        <w:spacing w:after="60" w:line="252" w:lineRule="auto"/>
        <w:ind w:left="360" w:hanging="360"/>
      </w:pPr>
      <w:r>
        <w:rPr>
          <w:rFonts w:ascii="Times New Roman" w:hAnsi="Times New Roman" w:eastAsia="Times New Roman"/>
          <w:color w:val="000000"/>
          <w:sz w:val="17"/>
        </w:rPr>
        <w:t>[21] J. Zhu and G. Pang, 'Toward generalist anomaly detection via in-context residual learning with few-shot sample prompts,' in Proc. IEEE/CVF Conf. Comput. Vis. Pattern Recognit. (CVPR), 2024, pp. 17826-17836.</w:t>
      </w:r>
    </w:p>
    <w:p>
      <w:pPr>
        <w:spacing w:after="60" w:line="252" w:lineRule="auto"/>
        <w:ind w:left="360" w:hanging="360"/>
      </w:pPr>
      <w:r>
        <w:rPr>
          <w:rFonts w:ascii="Times New Roman" w:hAnsi="Times New Roman" w:eastAsia="Times New Roman"/>
          <w:color w:val="000000"/>
          <w:sz w:val="17"/>
        </w:rPr>
        <w:t>[22] W. Ma et al., 'AA-CLIP: Enhancing zero-shot anomaly detection via anomaly-aware CLIP,' in Proc. IEEE/CVF Conf. Comput. Vis. Pattern Recognit. (CVPR), 2025, pp. 4744-4754.</w:t>
      </w:r>
    </w:p>
    <w:p>
      <w:pPr>
        <w:spacing w:after="60" w:line="252" w:lineRule="auto"/>
        <w:ind w:left="360" w:hanging="360"/>
      </w:pPr>
      <w:r>
        <w:rPr>
          <w:rFonts w:ascii="Times New Roman" w:hAnsi="Times New Roman" w:eastAsia="Times New Roman"/>
          <w:color w:val="000000"/>
          <w:sz w:val="17"/>
        </w:rPr>
        <w:t>[23] J. Zhu, Y.-S. Ong, C. Shen, and G. Pang, 'Fine-grained abnormality prompt learning for zero-shot anomaly detection,' in Proc. IEEE/CVF Int. Conf. Comput. Vis. (ICCV), 2025, pp. 22241-22251.</w:t>
      </w:r>
    </w:p>
    <w:p>
      <w:pPr>
        <w:spacing w:after="60" w:line="252" w:lineRule="auto"/>
        <w:ind w:left="360" w:hanging="360"/>
      </w:pPr>
      <w:r>
        <w:rPr>
          <w:rFonts w:ascii="Times New Roman" w:hAnsi="Times New Roman" w:eastAsia="Times New Roman"/>
          <w:color w:val="000000"/>
          <w:sz w:val="17"/>
        </w:rPr>
        <w:t>[24] H. Ma, G. Yang, D. Zhao, Y. Ji, and W. Zuo, 'ReMP-AD: Retrieval-enhanced multi-modal prompt fusion for few-shot industrial visual anomaly detection,' in Proc. IEEE/CVF Int. Conf. Comput. Vis. (ICCV), 2025, pp. 20425-20434, doi: 10.1109/ICCV51701.2025.01899.</w:t>
      </w:r>
    </w:p>
    <w:p>
      <w:pPr>
        <w:spacing w:after="60" w:line="252" w:lineRule="auto"/>
        <w:ind w:left="360" w:hanging="360"/>
      </w:pPr>
      <w:r>
        <w:rPr>
          <w:rFonts w:ascii="Times New Roman" w:hAnsi="Times New Roman" w:eastAsia="Times New Roman"/>
          <w:color w:val="000000"/>
          <w:sz w:val="17"/>
        </w:rPr>
        <w:t>[25] L. Xu, D. Han, G. Li, M. Zhou, J. Wan, and M. Li, 'Multimodal feature cooperative refinement for few-shot anomaly detection,' Adv. Eng. Inform., vol. 68, pt. C, Art. no. 103792, 2025, doi: 10.1016/j.aei.2025.103792.</w:t>
      </w:r>
    </w:p>
    <w:p>
      <w:pPr>
        <w:spacing w:after="60" w:line="252" w:lineRule="auto"/>
        <w:ind w:left="360" w:hanging="360"/>
      </w:pPr>
      <w:r>
        <w:rPr>
          <w:rFonts w:ascii="Times New Roman" w:hAnsi="Times New Roman" w:eastAsia="Times New Roman"/>
          <w:color w:val="000000"/>
          <w:sz w:val="17"/>
        </w:rPr>
        <w:t>[26] R. Ma, C. Li, J. Chen, Y. Feng, and J. Xie, 'PAPL: Particle-based adaptive prompt learning for zero-shot industrial anomaly detection,' Pattern Recognit., vol. 178, Art. no. 113489, 2026, doi: 10.1016/j.patcog.2026.113489.</w:t>
      </w:r>
    </w:p>
    <w:p>
      <w:pPr>
        <w:spacing w:after="60" w:line="252" w:lineRule="auto"/>
        <w:ind w:left="360" w:hanging="360"/>
      </w:pPr>
      <w:r>
        <w:rPr>
          <w:rFonts w:ascii="Times New Roman" w:hAnsi="Times New Roman" w:eastAsia="Times New Roman"/>
          <w:color w:val="000000"/>
          <w:sz w:val="17"/>
        </w:rPr>
        <w:t>[27] J. Jiang, Z. He, A. Wan, K. AL-Bukhaiti, and K. Wang, 'Zero-shot industrial anomaly detection via CLIP-DINOv2 multimodal fusion and stabilized attention pooling,' Electronics, vol. 14, no. 24, Art. no. 4785, 2025, doi: 10.3390/electronics14244785.</w:t>
      </w:r>
    </w:p>
    <w:p>
      <w:pPr>
        <w:spacing w:after="60" w:line="252" w:lineRule="auto"/>
        <w:ind w:left="360" w:hanging="360"/>
      </w:pPr>
      <w:r>
        <w:rPr>
          <w:rFonts w:ascii="Times New Roman" w:hAnsi="Times New Roman" w:eastAsia="Times New Roman"/>
          <w:color w:val="000000"/>
          <w:sz w:val="17"/>
        </w:rPr>
        <w:t>[28] C. Wang et al., 'Real-IAD: A real-world multi-view dataset for benchmarking versatile industrial anomaly detection,' in Proc. IEEE/CVF Conf. Comput. Vis. Pattern Recognit. (CVPR), 2024, pp. 22883-22892.</w:t>
      </w:r>
    </w:p>
    <w:p>
      <w:pPr>
        <w:spacing w:after="60" w:line="252" w:lineRule="auto"/>
        <w:ind w:left="360" w:hanging="360"/>
      </w:pPr>
      <w:r>
        <w:rPr>
          <w:rFonts w:ascii="Times New Roman" w:hAnsi="Times New Roman" w:eastAsia="Times New Roman"/>
          <w:color w:val="000000"/>
          <w:sz w:val="17"/>
        </w:rPr>
        <w:t>[29] J. Johnson, M. Douze, and H. Jegou, 'Billion-scale similarity search with GPUs,' IEEE Trans. Big Data, vol. 7, no. 3, pp. 535-547, 2021, doi: 10.1109/TBDATA.2019.2921572.</w:t>
      </w:r>
    </w:p>
    <w:p>
      <w:pPr>
        <w:spacing w:after="60" w:line="252" w:lineRule="auto"/>
        <w:ind w:left="360" w:hanging="360"/>
      </w:pPr>
      <w:r>
        <w:rPr>
          <w:rFonts w:ascii="Times New Roman" w:hAnsi="Times New Roman" w:eastAsia="Times New Roman"/>
          <w:color w:val="000000"/>
          <w:sz w:val="17"/>
        </w:rPr>
        <w:t>[30]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60" w:line="252" w:lineRule="auto"/>
        <w:ind w:left="360" w:hanging="360"/>
      </w:pPr>
      <w:r>
        <w:rPr>
          <w:rFonts w:ascii="Times New Roman" w:hAnsi="Times New Roman" w:eastAsia="Times New Roman"/>
          <w:color w:val="000000"/>
          <w:sz w:val="17"/>
        </w:rPr>
        <w:t>[31] P. Mishra, R. Verk, D. Fornasier, C. Piciarelli, and G. L. Foresti, 'VT-ADL: A vision transformer network for image anomaly detection and localization,' in Proc. IEEE 30th Int. Symp. Ind. Electron., 2021, pp. 1-6, doi: 10.1109/ISIE45552.2021.9576231.</w:t>
      </w:r>
    </w:p>
    <w:p>
      <w:pPr>
        <w:spacing w:after="60" w:line="252" w:lineRule="auto"/>
        <w:ind w:left="360" w:hanging="360"/>
      </w:pPr>
      <w:r>
        <w:rPr>
          <w:rFonts w:ascii="Times New Roman" w:hAnsi="Times New Roman" w:eastAsia="Times New Roman"/>
          <w:color w:val="000000"/>
          <w:sz w:val="17"/>
        </w:rPr>
        <w:t>[32] P. Bergmann, M. Fauser, D. Sattlegger, and C. Steger, 'MVTec AD - A comprehensive real-world dataset for unsupervised anomaly detection,' in Proc. IEEE/CVF Conf. Comput. Vis. Pattern Recognit. (CVPR), 2019, pp. 9592-9600.</w:t>
      </w:r>
    </w:p>
    <w:p>
      <w:pPr>
        <w:spacing w:after="60" w:line="252" w:lineRule="auto"/>
        <w:ind w:left="360" w:hanging="360"/>
      </w:pPr>
      <w:r>
        <w:rPr>
          <w:rFonts w:ascii="Times New Roman" w:hAnsi="Times New Roman" w:eastAsia="Times New Roman"/>
          <w:color w:val="000000"/>
          <w:sz w:val="17"/>
        </w:rPr>
        <w:t>[33] Y. Zou, J. Jeong, L. Pemula, D. Zhang, and O. Dabeer, 'SPot-the-Difference self-supervised pre-training for anomaly detection and segmentation,' in Proc. Eur. Conf. Comput. Vis. (ECCV), 2022, pp. 392-408.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09-04T09:40:19Z">
    <w:p>
      <w:pPr>
        <w:pStyle w:val="CommentText"/>
      </w:pPr>
      <w:r>
        <w:rPr>
          <w:rStyle w:val="CommentReference"/>
        </w:rPr>
        <w:annotationRef/>
      </w:r>
      <w:r>
        <w:t>The opening now introduces normal-only inspection. Dataset-specific citations appear with the dataset descriptions in Section 3.6.</w:t>
      </w:r>
    </w:p>
  </w:comment>
  <w:comment w:id="1" w:author="Editorial review" w:initials="ER" w:date="2026-09-04T09:40:19Z">
    <w:p>
      <w:pPr>
        <w:pStyle w:val="CommentText"/>
      </w:pPr>
      <w:r>
        <w:rPr>
          <w:rStyle w:val="CommentReference"/>
        </w:rPr>
        <w:annotationRef/>
      </w:r>
      <w:r>
        <w:t>Complementarity is stated as a hypothesis to test, rather than as an established property of the two encoders.</w:t>
      </w:r>
    </w:p>
  </w:comment>
  <w:comment w:id="2" w:author="Editorial review" w:initials="ER" w:date="2026-09-04T09:40:19Z">
    <w:p>
      <w:pPr>
        <w:pStyle w:val="CommentText"/>
      </w:pPr>
      <w:r>
        <w:rPr>
          <w:rStyle w:val="CommentReference"/>
        </w:rPr>
        <w:annotationRef/>
      </w:r>
      <w:r>
        <w:t>The group includes both journal and conference papers, so the venue-specific generalization has been removed.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color w:val="666666"/>
        <w:sz w:val="18"/>
      </w:rPr>
      <w:t>DCFnet | Working manuscript draft through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60"/>
      <w:jc w:val="both"/>
    </w:pPr>
    <w:rPr>
      <w:rFonts w:ascii="Times New Roman" w:hAnsi="Times New Roman"/>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Few-Shot Industrial Anomaly Localization via a Dual-Encoder Calibrated Fusion Network</dc:title>
  <dc:subject>Working English manuscript draft through the Method section</dc:subject>
  <dc:creator/>
  <cp:keywords>industrial anomaly detection; few-shot; DINOv2; AnomalyCLIP; DCFnet</cp:keywords>
  <dc:description>Prepared from the frozen A1 method specification and verified literature sources.</dc:description>
  <cp:lastModifiedBy/>
  <cp:revision>1</cp:revision>
  <dcterms:created xsi:type="dcterms:W3CDTF">2013-12-23T23:15:00Z</dcterms:created>
  <dcterms:modified xsi:type="dcterms:W3CDTF">2013-12-23T23:15:00Z</dcterms:modified>
  <cp:category/>
</cp:coreProperties>
</file>