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60"/>
        <w:jc w:val="center"/>
      </w:pPr>
      <w:r>
        <w:rPr>
          <w:rFonts w:ascii="Times New Roman" w:hAnsi="Times New Roman" w:eastAsia="Times New Roman"/>
          <w:b/>
          <w:color w:val="000000"/>
          <w:sz w:val="36"/>
        </w:rPr>
        <w:t>DCFnet: Few-Shot Industrial Anomaly Localization via a Dual-Encoder Calibrated Fusion Network</w:t>
      </w:r>
    </w:p>
    <w:p>
      <w:pPr>
        <w:spacing w:after="280"/>
        <w:jc w:val="center"/>
      </w:pPr>
      <w:r>
        <w:rPr>
          <w:rFonts w:ascii="Times New Roman" w:hAnsi="Times New Roman" w:eastAsia="Times New Roman"/>
          <w:i/>
          <w:color w:val="666666"/>
          <w:sz w:val="20"/>
        </w:rPr>
        <w:t>Author information withheld in this working draft</w:t>
      </w:r>
    </w:p>
    <w:p>
      <w:pPr>
        <w:pStyle w:val="Heading1"/>
        <w:keepNext/>
      </w:pPr>
      <w:r>
        <w:rPr>
          <w:rFonts w:ascii="Times New Roman" w:hAnsi="Times New Roman" w:eastAsia="Times New Roman"/>
          <w:b/>
          <w:color w:val="000000"/>
          <w:sz w:val="30"/>
        </w:rPr>
        <w:t>Abstract</w:t>
      </w:r>
    </w:p>
    <w:p>
      <w:pPr>
        <w:spacing w:before="0" w:after="100" w:line="300" w:lineRule="auto"/>
        <w:jc w:val="both"/>
      </w:pPr>
      <w:r>
        <w:rPr>
          <w:rFonts w:ascii="Times New Roman" w:hAnsi="Times New Roman" w:eastAsia="Times New Roman"/>
          <w:color w:val="000000"/>
          <w:sz w:val="22"/>
        </w:rPr>
        <w:t>Automated visual inspection must identify defects whose appearance, scale, and location cannot be exhaustively enumerated before deployment. The problem is particularly acute during production-line start-up, when only a few defect-free images of a new product may be available. Existing few-shot industrial anomaly detectors increasingly use strong pretrained representations, yet a single feature space may not respond uniformly to fine textures, object geometry, and semantically meaningful structural changes. This paper presents DCFnet, a dual-encoder calibrated fusion architecture for normal-only few-shot industrial anomaly detection and pixel-level localization. DCFnet uses a frozen DINOv2 ViT-B/14 encoder and a frozen CLIP ViT-L/14@336 visual encoder configured with AnomalyCLIP's DPAM attention modification. The heterogeneous patch grids are spatially aligned, independently L2-normalized, combined by a fixed equal-weight concatenation, and normalized again before a category-specific normal memory is constructed. Query patches are scored by their nearest-neighbor distance to this memory. The method has no trainable fusion parameters and uses neither text embeddings nor abnormal target-domain samples. Under a matched protocol covering MPDD, BTAD, VisA, and MVTec AD, three reference-image seeds, and 1-, 2-, and 4-shot settings, DCFnet increases mean pixel-level average precision over an otherwise identical DINO-only control by 0.0258, 0.0249, 0.0524, and 0.0320, respectively. The gain is positive in all 36 dataset-level seed/shot configurations, although it is not universal across categories or image-level metrics. These findings establish a transparent and reproducible reference for the benefits, limits, and computational cost of fixed heterogeneous visual-feature fusion in data-scarce industrial inspection.</w:t>
      </w:r>
    </w:p>
    <w:p>
      <w:pPr>
        <w:spacing w:after="200" w:line="288" w:lineRule="auto"/>
      </w:pPr>
      <w:r>
        <w:rPr>
          <w:rFonts w:ascii="Times New Roman" w:hAnsi="Times New Roman" w:eastAsia="Times New Roman"/>
          <w:b/>
          <w:color w:val="000000"/>
          <w:sz w:val="21"/>
        </w:rPr>
        <w:t xml:space="preserve">Keywords: </w:t>
      </w:r>
      <w:r>
        <w:rPr>
          <w:rFonts w:ascii="Times New Roman" w:hAnsi="Times New Roman" w:eastAsia="Times New Roman"/>
          <w:color w:val="000000"/>
          <w:sz w:val="21"/>
        </w:rPr>
        <w:t>industrial anomaly detection; few-shot learning; anomaly localization; visual foundation models; feature fusion; normal memory bank</w:t>
      </w:r>
    </w:p>
    <w:p>
      <w:pPr>
        <w:pStyle w:val="Heading1"/>
        <w:keepNext/>
      </w:pPr>
      <w:r>
        <w:rPr>
          <w:rFonts w:ascii="Times New Roman" w:hAnsi="Times New Roman" w:eastAsia="Times New Roman"/>
          <w:b/>
          <w:color w:val="000000"/>
          <w:sz w:val="30"/>
        </w:rPr>
        <w:t>1. Introduction</w:t>
      </w:r>
    </w:p>
    <w:p>
      <w:pPr>
        <w:spacing w:before="0" w:after="120" w:line="300" w:lineRule="auto"/>
        <w:ind w:firstLine="360"/>
        <w:jc w:val="both"/>
      </w:pPr>
      <w:r>
        <w:rPr>
          <w:rFonts w:ascii="Times New Roman" w:hAnsi="Times New Roman" w:eastAsia="Times New Roman"/>
          <w:color w:val="000000"/>
          <w:sz w:val="22"/>
        </w:rPr>
        <w:t>Visual quality inspection is a core component of modern manufacturing because small surface defects, geometric deformations, missing components, and contamination can compromise product reliability even when the affected region occupies only a small fraction of an image. Conventional supervised detection assumes that representative defect categories and sufficiently detailed annotations are available during training. That assumption is often untenable in industrial production: defective items are deliberately rare, new defect modes emerge after process changes, and pixel-wise labeling requires specialized labor. Industrial anomaly detection therefore learns a model of normal appearance and identifies departures from that model at test time. MVTec AD, VisA, MPDD, and BTAD have made this setting measurable across textured surfaces, manufactured objects, metal components, and complex real-world parts [1]-[4].</w:t>
      </w:r>
    </w:p>
    <w:p>
      <w:pPr>
        <w:spacing w:before="0" w:after="120" w:line="300" w:lineRule="auto"/>
        <w:ind w:firstLine="360"/>
        <w:jc w:val="both"/>
      </w:pPr>
      <w:r>
        <w:rPr>
          <w:rFonts w:ascii="Times New Roman" w:hAnsi="Times New Roman" w:eastAsia="Times New Roman"/>
          <w:color w:val="000000"/>
          <w:sz w:val="22"/>
        </w:rPr>
        <w:t>A more stringent and practically relevant setting arises when even normal data are scarce. At the start of a new production run, only one or a few verified normal images may be available, while collecting a large category-specific training set would delay deployment. Normal-only few-shot anomaly detection addresses this cold-start condition by constructing a reference model from K normal images and detecting previously unseen abnormalities without using abnormal target-domain samples. Patch-based memory methods are attractive in this regime because they require no closed defect taxonomy: local query descriptors are compared with descriptors extracted from normal references, and their deviations directly support pixel-level localization. PatchCore demonstrated the effectiveness of nearest-neighbor patch memories [5], while DINOv2 provides robust self-supervised visual descriptors that can be transferred without category-specific representation training [6]. AnomalyDINO subsequently showed that frozen DINOv2 patches form a strong basis for few-shot industrial anomaly detection [7].</w:t>
      </w:r>
    </w:p>
    <w:p>
      <w:pPr>
        <w:spacing w:before="0" w:after="120" w:line="300" w:lineRule="auto"/>
        <w:ind w:firstLine="360"/>
        <w:jc w:val="both"/>
      </w:pPr>
      <w:r>
        <w:rPr>
          <w:rFonts w:ascii="Times New Roman" w:hAnsi="Times New Roman" w:eastAsia="Times New Roman"/>
          <w:color w:val="000000"/>
          <w:sz w:val="22"/>
        </w:rPr>
        <w:t>Nevertheless, no single representation is guaranteed to be uniformly informative across the diversity of industrial defects. Texture irregularities, thin scratches, large structural changes, pose variation, and repeated components place different demands on local descriptors. A representation optimized by self-supervised visual objectives may preserve spatial correspondence and fine structure, whereas an image encoder inherited from image-text contrastive pretraining may encode broader semantic regularities. CLIP established the transferability of large-scale image-text pretraining [8], and WinCLIP adapted CLIP to zero- and few-shot anomaly classification and segmentation [9]. More recently, AnomalyCLIP learned object-agnostic normal and abnormal prompts, and PromptAD learned prompts using only normal target samples [10], [11]. These methods demonstrate the value of CLIP-derived representations, but they do not answer whether the visual patch descriptors of two frozen encoders provide complementary evidence when the downstream detector is held fixed and text is removed from inference.</w:t>
      </w:r>
    </w:p>
    <w:p>
      <w:pPr>
        <w:spacing w:before="0" w:after="120" w:line="300" w:lineRule="auto"/>
        <w:ind w:firstLine="360"/>
        <w:jc w:val="both"/>
      </w:pPr>
      <w:r>
        <w:rPr>
          <w:rFonts w:ascii="Times New Roman" w:hAnsi="Times New Roman" w:eastAsia="Times New Roman"/>
          <w:color w:val="000000"/>
          <w:sz w:val="22"/>
        </w:rPr>
        <w:t>The question is nontrivial because combining two encoders is not itself new. Sea-CLIP integrates CLIP and DINOv2 representations through trainable prompts, synthetic anomalies, and an anomaly-matching decoder [12]. Other recent approaches have introduced prompt learning, multimodal attention, adaptive pooling, query-conditioned prototype refinement, and frequency-domain branches. Their capacity can improve performance, but it also makes attribution difficult: an observed gain may arise from auxiliary training data, learned fusion parameters, synthetic defects, or test-time adaptation rather than from the intrinsic complementarity of the underlying frozen image features. A controlled and training-free study is therefore needed to isolate the contribution of the second visual representation.</w:t>
      </w:r>
    </w:p>
    <w:p>
      <w:pPr>
        <w:spacing w:before="0" w:after="120" w:line="300" w:lineRule="auto"/>
        <w:ind w:firstLine="360"/>
        <w:jc w:val="both"/>
      </w:pPr>
      <w:r>
        <w:rPr>
          <w:rFonts w:ascii="Times New Roman" w:hAnsi="Times New Roman" w:eastAsia="Times New Roman"/>
          <w:color w:val="000000"/>
          <w:sz w:val="22"/>
        </w:rPr>
        <w:t>Three technical difficulties must be addressed. First, heterogeneous encoders produce patch grids at different input resolutions, so spatially corresponding descriptors cannot be combined without explicit alignment. Second, the feature spaces have different scales and pretraining biases; uncalibrated concatenation can allow one branch to dominate the distance metric. Third, average benchmark scores may conceal reference-sampling instability, category-specific negative transfer, or additional inference cost. A credible solution should therefore use a clearly specified alignment and normalization procedure, freeze all fusion decisions before external evaluation, compare against a genuinely matched single-encoder control, and report both successful and adverse cases.</w:t>
      </w:r>
    </w:p>
    <w:p>
      <w:pPr>
        <w:spacing w:before="0" w:after="120" w:line="300" w:lineRule="auto"/>
        <w:ind w:firstLine="360"/>
        <w:jc w:val="both"/>
      </w:pPr>
      <w:r>
        <w:rPr>
          <w:rFonts w:ascii="Times New Roman" w:hAnsi="Times New Roman" w:eastAsia="Times New Roman"/>
          <w:color w:val="000000"/>
          <w:sz w:val="22"/>
        </w:rPr>
        <w:t>To this end, we present DCFnet, a Dual-Encoder Calibrated Fusion Network for normal-only few-shot industrial anomaly localization. The term calibrated refers to deterministic spatial and magnitude calibration rather than to a learned gating network. DCFnet extracts patch features from frozen DINOv2 ViT-B/14 and a frozen CLIP ViT-L/14@336 visual encoder configured with AnomalyCLIP's DPAM attention modification. The CLIP-derived patch grid is bilinearly resized to the DINOv2 grid; each branch is L2-normalized, the two branches are concatenated with fixed equal scaling, and the fused descriptors are normalized again. A category-specific memory is then built exclusively from K normal reference images, and anomaly scores are obtained by one-nearest-neighbor search. No text embedding, abnormal target-domain sample, target-domain fine-tuning, or test-label-derived decision rule is used.</w:t>
      </w:r>
    </w:p>
    <w:p>
      <w:pPr>
        <w:spacing w:before="0" w:after="120" w:line="300" w:lineRule="auto"/>
        <w:ind w:firstLine="360"/>
        <w:jc w:val="both"/>
      </w:pPr>
      <w:r>
        <w:rPr>
          <w:rFonts w:ascii="Times New Roman" w:hAnsi="Times New Roman" w:eastAsia="Times New Roman"/>
          <w:color w:val="000000"/>
          <w:sz w:val="22"/>
        </w:rPr>
        <w:t>The frozen method is evaluated on four industrial datasets under 1-, 2-, and 4-shot protocols with three reference-sampling seeds. Relative to a matched DINO-only pipeline that shares the same reference identities, memory construction, nearest-neighbor scoring, post-processing, and evaluator, DCFnet yields positive mean Pixel-AP gains in every one of the 36 dataset-level seed/shot configurations. The dataset-level mean gains are 0.0258 on MPDD, 0.0249 on BTAD, 0.0524 on VisA, and 0.0320 on MVTec AD. The evidence is deliberately qualified: some categories exhibit persistent negative transfer, BTAD does not improve on every image-level metric, and the second encoder introduces non-negligible latency. Thus, the paper does not claim universal superiority or state-of-the-art performance.</w:t>
      </w:r>
    </w:p>
    <w:p>
      <w:pPr>
        <w:keepNext/>
        <w:spacing w:before="0" w:after="80" w:line="300" w:lineRule="auto"/>
        <w:jc w:val="both"/>
      </w:pPr>
      <w:r>
        <w:rPr>
          <w:rFonts w:ascii="Times New Roman" w:hAnsi="Times New Roman" w:eastAsia="Times New Roman"/>
          <w:color w:val="000000"/>
          <w:sz w:val="22"/>
        </w:rPr>
        <w:t>The contributions of this work are summarized as follows:</w:t>
      </w:r>
    </w:p>
    <w:p>
      <w:pPr>
        <w:pStyle w:val="ListBullet"/>
        <w:spacing w:after="80" w:line="290" w:lineRule="auto"/>
        <w:ind w:left="720" w:hanging="360"/>
      </w:pPr>
      <w:r>
        <w:rPr>
          <w:rFonts w:ascii="Times New Roman" w:hAnsi="Times New Roman" w:eastAsia="Times New Roman"/>
          <w:color w:val="000000"/>
          <w:sz w:val="22"/>
        </w:rPr>
        <w:t>A deterministic dual-encoder calibration and fusion pipeline that aligns heterogeneous patch grids, equalizes branch magnitudes, and combines frozen DINOv2 and DPAM-modified CLIP visual features without a learned fusion module, text input, or target-domain parameter training.</w:t>
      </w:r>
    </w:p>
    <w:p>
      <w:pPr>
        <w:pStyle w:val="ListBullet"/>
        <w:spacing w:after="80" w:line="290" w:lineRule="auto"/>
        <w:ind w:left="720" w:hanging="360"/>
      </w:pPr>
      <w:r>
        <w:rPr>
          <w:rFonts w:ascii="Times New Roman" w:hAnsi="Times New Roman" w:eastAsia="Times New Roman"/>
          <w:color w:val="000000"/>
          <w:sz w:val="22"/>
        </w:rPr>
        <w:t>A matched experimental design that isolates the effect of the second visual representation while keeping normal references, nearest-neighbor scoring, post-processing, and evaluation unchanged across four industrial datasets, three reference seeds, and three shot levels.</w:t>
      </w:r>
    </w:p>
    <w:p>
      <w:pPr>
        <w:pStyle w:val="ListBullet"/>
        <w:spacing w:after="80" w:line="290" w:lineRule="auto"/>
        <w:ind w:left="720" w:hanging="360"/>
      </w:pPr>
      <w:r>
        <w:rPr>
          <w:rFonts w:ascii="Times New Roman" w:hAnsi="Times New Roman" w:eastAsia="Times New Roman"/>
          <w:color w:val="000000"/>
          <w:sz w:val="22"/>
        </w:rPr>
        <w:t>A reproducibility- and boundary-oriented evaluation protocol that reports complete image- and pixel-level evidence, category-specific negative transfer, computational cost, leakage checks, and reconstructable artifacts instead of presenting only favorable aggregate scores.</w:t>
      </w:r>
    </w:p>
    <w:p>
      <w:pPr>
        <w:pStyle w:val="Heading1"/>
        <w:keepNext/>
      </w:pPr>
      <w:r>
        <w:rPr>
          <w:rFonts w:ascii="Times New Roman" w:hAnsi="Times New Roman" w:eastAsia="Times New Roman"/>
          <w:b/>
          <w:color w:val="000000"/>
          <w:sz w:val="30"/>
        </w:rPr>
        <w:t>2. Related Work</w:t>
      </w:r>
    </w:p>
    <w:p>
      <w:pPr>
        <w:spacing w:before="0" w:after="120" w:line="300" w:lineRule="auto"/>
        <w:ind w:firstLine="360"/>
        <w:jc w:val="both"/>
      </w:pPr>
      <w:r>
        <w:rPr>
          <w:rFonts w:ascii="Times New Roman" w:hAnsi="Times New Roman" w:eastAsia="Times New Roman"/>
          <w:color w:val="000000"/>
          <w:sz w:val="22"/>
        </w:rPr>
        <w:t>Industrial anomaly detection methods can be organized into three broad families according to how normality is represented: reconstruction or one-class learning, pretrained feature embedding with normal memories, and foundation-model-based or hybrid approaches. The families are not mutually exclusive, but the classification clarifies their principal trade-offs. Reconstruction methods learn an explicit normal-image generator and can produce intuitive residual maps, yet they require category-specific optimization and may reconstruct abnormal regions too well. Embedding and memory methods are simpler at inference and often localize defects accurately, but their effectiveness depends strongly on the chosen representation and reference coverage. Foundation-model and hybrid methods improve transfer or semantic breadth, although they may introduce prompts, auxiliary data, learned adapters, or protocol-dependent complexity.</w:t>
      </w:r>
    </w:p>
    <w:p>
      <w:pPr>
        <w:pStyle w:val="Heading2"/>
        <w:keepNext/>
      </w:pPr>
      <w:r>
        <w:rPr>
          <w:rFonts w:ascii="Times New Roman" w:hAnsi="Times New Roman" w:eastAsia="Times New Roman"/>
          <w:b/>
          <w:color w:val="000000"/>
          <w:sz w:val="25"/>
        </w:rPr>
        <w:t>2.1 Reconstruction and One-Class Learning</w:t>
      </w:r>
    </w:p>
    <w:p>
      <w:pPr>
        <w:spacing w:before="0" w:after="120" w:line="300" w:lineRule="auto"/>
        <w:ind w:firstLine="360"/>
        <w:jc w:val="both"/>
      </w:pPr>
      <w:r>
        <w:rPr>
          <w:rFonts w:ascii="Times New Roman" w:hAnsi="Times New Roman" w:eastAsia="Times New Roman"/>
          <w:color w:val="000000"/>
          <w:sz w:val="22"/>
        </w:rPr>
        <w:t>Early visual-inspection systems relied on hand-engineered texture, edge, morphology, and statistical descriptors, followed by conventional classifiers or thresholding. Such pipelines can be efficient when imaging conditions and defect definitions are stable, but their task-specific features generalize poorly to new materials, illumination conditions, or previously unseen defect morphologies. Deep reconstruction methods replaced manual descriptors with autoencoders, generative models, and student-teacher networks trained on normal images. Their central assumption is that a model fitted to normality reconstructs or predicts normal regions accurately while producing larger residuals on anomalous content. This assumption provides a natural anomaly map, but high-capacity networks may also reconstruct defects, and separate optimization is usually required for each target category.</w:t>
      </w:r>
    </w:p>
    <w:p>
      <w:pPr>
        <w:spacing w:before="0" w:after="120" w:line="300" w:lineRule="auto"/>
        <w:ind w:firstLine="360"/>
        <w:jc w:val="both"/>
      </w:pPr>
      <w:r>
        <w:rPr>
          <w:rFonts w:ascii="Times New Roman" w:hAnsi="Times New Roman" w:eastAsia="Times New Roman"/>
          <w:color w:val="000000"/>
          <w:sz w:val="22"/>
        </w:rPr>
        <w:t>Recent journal studies continue to refine this family rather than treating it as obsolete. SLSG improves feature embeddings and one-class classification through generative pretraining, anomaly simulation, and graph reasoning [13]. RealNet uses realistic synthetic anomalies and feature selection to learn defect-sensitive representations [14]. DFD decomposes images into frequency components and trains dual discriminators to expose subtle abnormalities that may be weak in the spatial domain [15]. DMMGNet combines feature discrimination mapping, augmentation, and memory-bank mean guidance for few-shot training [16]. These approaches strengthen category-specific discrimination, but their learned components and synthetic anomaly assumptions differ from the zero-training normal-reference setting considered here. Their common advantage is adaptability to specific defect statistics; their common limitation is that retraining or optimization complicates rapid deployment when a new product has only a handful of verified normal samples.</w:t>
      </w:r>
    </w:p>
    <w:p>
      <w:pPr>
        <w:pStyle w:val="Heading2"/>
        <w:keepNext/>
      </w:pPr>
      <w:r>
        <w:rPr>
          <w:rFonts w:ascii="Times New Roman" w:hAnsi="Times New Roman" w:eastAsia="Times New Roman"/>
          <w:b/>
          <w:color w:val="000000"/>
          <w:sz w:val="25"/>
        </w:rPr>
        <w:t>2.2 Feature Embedding and Normal-Memory Methods</w:t>
      </w:r>
    </w:p>
    <w:p>
      <w:pPr>
        <w:spacing w:before="0" w:after="120" w:line="300" w:lineRule="auto"/>
        <w:ind w:firstLine="360"/>
        <w:jc w:val="both"/>
      </w:pPr>
      <w:r>
        <w:rPr>
          <w:rFonts w:ascii="Times New Roman" w:hAnsi="Times New Roman" w:eastAsia="Times New Roman"/>
          <w:color w:val="000000"/>
          <w:sz w:val="22"/>
        </w:rPr>
        <w:t>Embedding-based methods avoid image reconstruction and instead measure deviations in a pretrained feature space. PaDiM models the distribution of normal patch embeddings with multivariate Gaussian statistics [17]. PatchCore stores a coreset of normal local features and scores query patches by nearest-neighbor distance, demonstrating that a simple memory can achieve strong localization [5]. This paradigm is especially compatible with normal-only inspection because it neither requires defect labels nor assumes a closed anomaly taxonomy. Its weakness is equally direct: when normal references are few, the memory may inadequately cover acceptable appearance variation, and the distance metric is only as informative as the underlying feature representation.</w:t>
      </w:r>
    </w:p>
    <w:p>
      <w:pPr>
        <w:spacing w:before="0" w:after="120" w:line="300" w:lineRule="auto"/>
        <w:ind w:firstLine="360"/>
        <w:jc w:val="both"/>
      </w:pPr>
      <w:r>
        <w:rPr>
          <w:rFonts w:ascii="Times New Roman" w:hAnsi="Times New Roman" w:eastAsia="Times New Roman"/>
          <w:color w:val="000000"/>
          <w:sz w:val="22"/>
        </w:rPr>
        <w:t>Few-shot work has consequently focused on expanding normal coverage or improving representation quality. FEAD transforms support features conditionally and constructs multi-frequency descriptors to compensate for sparse normal patterns [18]. The K-NG framework formulates few-shot online detection and updates a Neural Gas representation from an unlabeled stream while attempting to avoid contamination by anomalies [19]. PGAD combines global invariant and multiscale local features and explicitly calibrates differently distributed anomaly scores [20]. FastRef refines normal prototypes at test time and uses optimal transport to reduce the risk of absorbing anomalous query features [21]. These methods address reference scarcity through transformation, updating, multiscale modeling, or transductive refinement. DCFnet instead keeps the normal memory fixed and asks whether a second frozen representation provides a reproducible gain without query-conditioned adaptation.</w:t>
      </w:r>
    </w:p>
    <w:p>
      <w:pPr>
        <w:pStyle w:val="Heading2"/>
        <w:keepNext/>
      </w:pPr>
      <w:r>
        <w:rPr>
          <w:rFonts w:ascii="Times New Roman" w:hAnsi="Times New Roman" w:eastAsia="Times New Roman"/>
          <w:b/>
          <w:color w:val="000000"/>
          <w:sz w:val="25"/>
        </w:rPr>
        <w:t>2.3 Foundation Models for Few-Shot Anomaly Detection</w:t>
      </w:r>
    </w:p>
    <w:p>
      <w:pPr>
        <w:spacing w:before="0" w:after="120" w:line="300" w:lineRule="auto"/>
        <w:ind w:firstLine="360"/>
        <w:jc w:val="both"/>
      </w:pPr>
      <w:r>
        <w:rPr>
          <w:rFonts w:ascii="Times New Roman" w:hAnsi="Times New Roman" w:eastAsia="Times New Roman"/>
          <w:color w:val="000000"/>
          <w:sz w:val="22"/>
        </w:rPr>
        <w:t>Self-supervised visual foundation models have substantially changed the quality of transferable local descriptors. DINOv2 learns robust visual features without labels and transfers well across recognition and dense-prediction tasks [6]. AnomalyDINO applies frozen DINOv2 patches to few-shot anomaly detection and shows that straightforward patch comparison is already highly competitive [7]. UniVAD develops a training-free unified model that reasons over reference images across industrial, logical, and medical anomalies [22]. SubspaceAD fits a principal subspace to frozen DINOv2 patches and scores reconstruction residuals, providing a strong training-free alternative to direct nearest-neighbor memories [23]. DCP-SFR argues that deep structural representations may suppress shallow defect cues and refines them to preserve subtle anomalies [24]. Collectively, these studies show that feature selection, normal-space modeling, and cue preservation can be as important as the downstream anomaly scorer. They also establish a demanding visual-only baseline against which fusion must be assessed.</w:t>
      </w:r>
    </w:p>
    <w:p>
      <w:pPr>
        <w:spacing w:before="0" w:after="120" w:line="300" w:lineRule="auto"/>
        <w:ind w:firstLine="360"/>
        <w:jc w:val="both"/>
      </w:pPr>
      <w:r>
        <w:rPr>
          <w:rFonts w:ascii="Times New Roman" w:hAnsi="Times New Roman" w:eastAsia="Times New Roman"/>
          <w:color w:val="000000"/>
          <w:sz w:val="22"/>
        </w:rPr>
        <w:t>Vision-language pretraining offers another route to transfer. CLIP learns aligned image and text embeddings from large-scale image-text supervision [8]. WinCLIP uses prompt ensembles, window-level visual features, and optional normal references for zero- and few-shot anomaly classification and segmentation [9]. AnomalyCLIP replaces object-specific descriptions with object-agnostic prompts learned for normality and abnormality [10], whereas PromptAD learns prompts using only normal target samples [11]. InCTRL performs in-context residual learning with few-shot sample prompts [25]. AA-CLIP introduces anomaly-aware text anchors and patch-level visual alignment [26], and FAPrompt decomposes coarse abnormality descriptions into fine-grained prompt components [27]. These methods improve semantic transfer, but most retain text-conditioned scoring or learned prompt parameters. DCFnet uses only the frozen DPAM-modified CLIP image encoder at inference; it is therefore a dual-visual-encoder method rather than a vision-text inference system.</w:t>
      </w:r>
    </w:p>
    <w:p>
      <w:pPr>
        <w:pStyle w:val="Heading2"/>
        <w:keepNext/>
      </w:pPr>
      <w:r>
        <w:rPr>
          <w:rFonts w:ascii="Times New Roman" w:hAnsi="Times New Roman" w:eastAsia="Times New Roman"/>
          <w:b/>
          <w:color w:val="000000"/>
          <w:sz w:val="25"/>
        </w:rPr>
        <w:t>2.4 Hybrid Fusion and the Position of This Work</w:t>
      </w:r>
    </w:p>
    <w:p>
      <w:pPr>
        <w:spacing w:before="0" w:after="120" w:line="300" w:lineRule="auto"/>
        <w:ind w:firstLine="360"/>
        <w:jc w:val="both"/>
      </w:pPr>
      <w:r>
        <w:rPr>
          <w:rFonts w:ascii="Times New Roman" w:hAnsi="Times New Roman" w:eastAsia="Times New Roman"/>
          <w:color w:val="000000"/>
          <w:sz w:val="22"/>
        </w:rPr>
        <w:t>Recent hybrid studies are the closest methodological context. ReMP-AD combines retrieval-enhanced normal references with multimodal prompt fusion [28]. A multimodal cooperative-refinement framework jointly refines text prompts, spatial features, frequency features, and decision-level fusion [29]. Sea-CLIP combines CLIP and DINOv2 with trainable prompts, synthetic anomalies, and a learned matching decoder [12]. PAPL integrates CLIP and DINO-family hierarchical features through prompt distribution learning and adaptive pooling [30], while a CLIP-DINOv2 framework uses trained dual-modality attention and stabilized pooling for zero-shot transfer [31]. Real-IAD further shows why such methods must be tested beyond small or potentially saturated benchmarks: it introduces a substantially larger, multiview industrial dataset with broader real-world variation [32].</w:t>
      </w:r>
    </w:p>
    <w:p>
      <w:pPr>
        <w:spacing w:before="0" w:after="120" w:line="300" w:lineRule="auto"/>
        <w:ind w:firstLine="360"/>
        <w:jc w:val="both"/>
      </w:pPr>
      <w:r>
        <w:rPr>
          <w:rFonts w:ascii="Times New Roman" w:hAnsi="Times New Roman" w:eastAsia="Times New Roman"/>
          <w:color w:val="000000"/>
          <w:sz w:val="22"/>
        </w:rPr>
        <w:t>The literature therefore establishes both the promise and the ambiguity of feature fusion. Learned hybrid systems can achieve strong results, but they conflate encoder complementarity with the effects of prompt optimization, synthetic data, attention modules, or test-time adaptation. Conversely, a fixed combination is easy to audit but can suffer from spatial misalignment, incompatible feature magnitudes, and negative transfer. The present study occupies this unresolved middle ground. It does not claim the first use of CLIP- and DINO-family representations. Instead, it introduces a deterministic spatial-and-magnitude calibration pipeline and isolates the effect of adding the second frozen image representation under an otherwise matched normal-memory detector. This position also motivates reporting reference-seed stability, category-level failures, and computational cost as primary evidence rather than as supplementary observations.</w:t>
      </w:r>
    </w:p>
    <w:p>
      <w:pPr>
        <w:pStyle w:val="Heading1"/>
        <w:keepNext/>
      </w:pPr>
      <w:r>
        <w:rPr>
          <w:rFonts w:ascii="Times New Roman" w:hAnsi="Times New Roman" w:eastAsia="Times New Roman"/>
          <w:b/>
          <w:color w:val="000000"/>
          <w:sz w:val="30"/>
        </w:rPr>
        <w:t>3. Detailed DCFnet</w:t>
      </w:r>
    </w:p>
    <w:p>
      <w:pPr>
        <w:pStyle w:val="Heading2"/>
        <w:keepNext/>
      </w:pPr>
      <w:r>
        <w:rPr>
          <w:rFonts w:ascii="Times New Roman" w:hAnsi="Times New Roman" w:eastAsia="Times New Roman"/>
          <w:b/>
          <w:color w:val="000000"/>
          <w:sz w:val="25"/>
        </w:rPr>
        <w:t>3.1 Problem Statement</w:t>
      </w:r>
    </w:p>
    <w:p>
      <w:pPr>
        <w:spacing w:before="0" w:after="120" w:line="300" w:lineRule="auto"/>
        <w:ind w:firstLine="360"/>
        <w:jc w:val="both"/>
      </w:pPr>
      <w:r>
        <w:rPr>
          <w:rFonts w:ascii="Times New Roman" w:hAnsi="Times New Roman" w:eastAsia="Times New Roman"/>
          <w:color w:val="000000"/>
          <w:sz w:val="22"/>
        </w:rPr>
        <w:t>Let c denote an industrial product category and let R_c = {x_1^c, ..., x_K^c} be a support set containing K verified normal images, where K is in {1, 2, 4}. No abnormal target-domain image is available for fitting the detector. Given a query image x, the objective is to estimate a nonnegative evaluation map S_448(x) of size 448 x 448 and a nonnegative image-level anomaly score s_img(x). Larger values should indicate a greater departure from the normal appearance represented by R_c. The method addresses binary normal-versus-anomalous inspection and spatial localization; it does not predict a closed defect label such as scratch, crack, hole, or stain. Pixel masks and image labels are used only for evaluation and never for feature fusion, memory construction, threshold selection, or reference sampling.</w:t>
      </w:r>
    </w:p>
    <w:p>
      <w:pPr>
        <w:spacing w:before="0" w:after="120" w:line="300" w:lineRule="auto"/>
        <w:ind w:firstLine="360"/>
        <w:jc w:val="both"/>
      </w:pPr>
      <w:r>
        <w:rPr>
          <w:rFonts w:ascii="Times New Roman" w:hAnsi="Times New Roman" w:eastAsia="Times New Roman"/>
          <w:color w:val="000000"/>
          <w:sz w:val="22"/>
        </w:rPr>
        <w:t>For a query pixel u, let y_u in {0, 1} denote its evaluation-only ground-truth status. The desired scoring function ranks anomalous pixels above normal pixels as often as possible, while remaining applicable to previously unseen defect types. Because no exhaustive anomaly distribution can be estimated from R_c, DCFnet models normality rather than learning an explicit multiclass decision boundary. The same category-specific support set is used by DCFnet and the matched DINO-only control, so their difference can be attributed to the additional frozen representation and its calibration path.</w:t>
      </w:r>
    </w:p>
    <w:p>
      <w:pPr>
        <w:pStyle w:val="Heading2"/>
        <w:keepNext/>
      </w:pPr>
      <w:r>
        <w:rPr>
          <w:rFonts w:ascii="Times New Roman" w:hAnsi="Times New Roman" w:eastAsia="Times New Roman"/>
          <w:b/>
          <w:color w:val="000000"/>
          <w:sz w:val="25"/>
        </w:rPr>
        <w:t>3.2 Overview Structure</w:t>
      </w:r>
    </w:p>
    <w:p>
      <w:pPr>
        <w:spacing w:before="0" w:after="120" w:line="300" w:lineRule="auto"/>
        <w:ind w:firstLine="360"/>
        <w:jc w:val="both"/>
      </w:pPr>
      <w:r>
        <w:rPr>
          <w:rFonts w:ascii="Times New Roman" w:hAnsi="Times New Roman" w:eastAsia="Times New Roman"/>
          <w:color w:val="000000"/>
          <w:sz w:val="22"/>
        </w:rPr>
        <w:t>DCFnet contains four deterministic stages: frozen dual-encoder extraction, cross-encoder spatial calibration, branch-wise magnitude calibration and fixed fusion, and nearest-neighbor normal-memory scoring. The support and query paths share the same feature extractor but serve different roles. Support images populate the category-specific memory once; a query image is never inserted into that memory. Each query patch is compared with the fixed support memory, and the resulting patch scores are bilinearly upsampled and then Gaussian-smoothed to obtain the pixel-level anomaly map. Figure 1 specifies this separation explicitly.</w:t>
      </w:r>
    </w:p>
    <w:p>
      <w:pPr>
        <w:keepNext/>
        <w:spacing w:before="160" w:after="80"/>
        <w:jc w:val="center"/>
      </w:pPr>
      <w:r>
        <w:drawing>
          <wp:inline xmlns:a="http://schemas.openxmlformats.org/drawingml/2006/main" xmlns:pic="http://schemas.openxmlformats.org/drawingml/2006/picture">
            <wp:extent cx="5897880" cy="3009397"/>
            <wp:docPr id="1" name="Picture 1" title="DCFnet architecture" descr="Two-lane workflow of DCFnet. Normal support images construct a fixed category memory, while a query image is processed separately by frozen DINOv2 and DPAM-modified CLIP visual encoders before exact nearest-neighbor anomaly scoring."/>
            <wp:cNvGraphicFramePr>
              <a:graphicFrameLocks noChangeAspect="1"/>
            </wp:cNvGraphicFramePr>
            <a:graphic>
              <a:graphicData uri="http://schemas.openxmlformats.org/drawingml/2006/picture">
                <pic:pic>
                  <pic:nvPicPr>
                    <pic:cNvPr id="0" name="DCFnet_Fig1_AI_reference_20260903.png"/>
                    <pic:cNvPicPr/>
                  </pic:nvPicPr>
                  <pic:blipFill>
                    <a:blip r:embed="rId11"/>
                    <a:stretch>
                      <a:fillRect/>
                    </a:stretch>
                  </pic:blipFill>
                  <pic:spPr>
                    <a:xfrm>
                      <a:off x="0" y="0"/>
                      <a:ext cx="5897880" cy="3009397"/>
                    </a:xfrm>
                    <a:prstGeom prst="rect"/>
                  </pic:spPr>
                </pic:pic>
              </a:graphicData>
            </a:graphic>
          </wp:inline>
        </w:drawing>
      </w:r>
    </w:p>
    <w:p>
      <w:pPr>
        <w:pStyle w:val="FigureCaption"/>
        <w:keepNext/>
        <w:keepLines/>
      </w:pPr>
      <w:r>
        <w:rPr>
          <w:rFonts w:ascii="Times New Roman" w:hAnsi="Times New Roman" w:eastAsia="Times New Roman"/>
          <w:color w:val="000000"/>
          <w:sz w:val="18"/>
        </w:rPr>
        <w:t>Fig. 1. Overall workflow of DCFnet. Normal support images construct a fixed category memory, whereas the query image follows a separate inference path. Both paths share frozen dual-encoder extraction, CLIP-to-DINO spatial alignment, branch-wise magnitude normalization, fixed equal-scaling concatenation, and global normalization. Query patches are compared with the fixed memory before bilinear upsampling and Gaussian smoothing produce the final anomaly map.</w:t>
      </w:r>
    </w:p>
    <w:p>
      <w:pPr>
        <w:pStyle w:val="Heading2"/>
        <w:keepNext/>
      </w:pPr>
      <w:r>
        <w:rPr>
          <w:rFonts w:ascii="Times New Roman" w:hAnsi="Times New Roman" w:eastAsia="Times New Roman"/>
          <w:b/>
          <w:color w:val="000000"/>
          <w:sz w:val="25"/>
        </w:rPr>
        <w:t>3.3 Frozen Dual-Encoder Visual Representation</w:t>
      </w:r>
    </w:p>
    <w:p>
      <w:pPr>
        <w:spacing w:before="0" w:after="120" w:line="300" w:lineRule="auto"/>
        <w:ind w:firstLine="360"/>
        <w:jc w:val="both"/>
      </w:pPr>
      <w:r>
        <w:rPr>
          <w:rFonts w:ascii="Times New Roman" w:hAnsi="Times New Roman" w:eastAsia="Times New Roman"/>
          <w:color w:val="000000"/>
          <w:sz w:val="22"/>
        </w:rPr>
        <w:t>The first branch is a frozen DINOv2 ViT-B/14 encoder [6]. An input is resized according to the fixed pipeline with a target short-side resolution of 448 pixels and cropped so that each spatial dimension is divisible by the patch size of 14. The resulting grid is denoted by h_D x w_D; its shorter dimension is 32 patches, and each patch descriptor has dimension d_D = 768. DINOv2 is selected because its self-supervised objective produces transferable dense visual descriptors and because DINO-based patch comparison is a strong few-shot baseline [7]. The branch is not fine-tuned on any of the four target datasets.</w:t>
      </w:r>
    </w:p>
    <w:p>
      <w:pPr>
        <w:spacing w:before="0" w:after="120" w:line="300" w:lineRule="auto"/>
        <w:ind w:firstLine="360"/>
        <w:jc w:val="both"/>
      </w:pPr>
      <w:r>
        <w:rPr>
          <w:rFonts w:ascii="Times New Roman" w:hAnsi="Times New Roman" w:eastAsia="Times New Roman"/>
          <w:color w:val="000000"/>
          <w:sz w:val="22"/>
        </w:rPr>
        <w:t>The second branch is a frozen CLIP ViT-L/14@336 visual encoder configured with AnomalyCLIP's diagonally prominent attention map (DPAM) modification [10]. It receives a 518 x 518 input and produces a 37 x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pPr>
        <w:pStyle w:val="Heading2"/>
        <w:keepNext/>
      </w:pPr>
      <w:r>
        <w:rPr>
          <w:rFonts w:ascii="Times New Roman" w:hAnsi="Times New Roman" w:eastAsia="Times New Roman"/>
          <w:b/>
          <w:color w:val="000000"/>
          <w:sz w:val="25"/>
        </w:rPr>
        <w:t>3.4 Spatial Calibration and Fixed Feature Fusion</w:t>
      </w:r>
    </w:p>
    <w:p>
      <w:pPr>
        <w:spacing w:before="0" w:after="120" w:line="300" w:lineRule="auto"/>
        <w:ind w:firstLine="360"/>
        <w:jc w:val="both"/>
      </w:pPr>
      <w:r>
        <w:rPr>
          <w:rFonts w:ascii="Times New Roman" w:hAnsi="Times New Roman" w:eastAsia="Times New Roman"/>
          <w:color w:val="000000"/>
          <w:sz w:val="22"/>
        </w:rPr>
        <w:t>Let F_D(x) and F_C(x) denote the 768-dimensional DINOv2 and DPAM-modified CLIP patch tensors on grids of size h_D x w_D and h_C x w_C, respectively. Direct concatenation is invalid because the two grid sizes differ. We therefore apply a bilinear grid-resizing operator R(·) to F_C(x), with align_corners set to false, producing F_C-to-D(x) = R(F_C(x)) on the h_D x w_D grid. This spatial calibration preserves the DINO grid as the reference lattice and avoids discrete nearest-cell assignment when the two patch centers do not coincide.</w:t>
      </w:r>
    </w:p>
    <w:p>
      <w:pPr>
        <w:spacing w:before="0" w:after="120" w:line="300" w:lineRule="auto"/>
        <w:ind w:firstLine="360"/>
        <w:jc w:val="both"/>
      </w:pPr>
      <w:r>
        <w:rPr>
          <w:rFonts w:ascii="Times New Roman" w:hAnsi="Times New Roman" w:eastAsia="Times New Roman"/>
          <w:color w:val="000000"/>
          <w:sz w:val="22"/>
        </w:rPr>
        <w:t>Spatial alignment does not remove differences in feature magnitude. For every patch p, each branch is independently L2-normalized before the calibrated branches are concatenated with fixed alpha = 0.5 and normalized again:</w:t>
      </w:r>
    </w:p>
    <w:p>
      <w:pPr>
        <w:spacing w:before="100" w:after="140"/>
        <w:jc w:val="center"/>
      </w:pPr>
      <m:oMathPara>
        <m:oMath>
          <m:sSub>
            <m:e>
              <m:r>
                <m:t>g</m:t>
              </m:r>
            </m:e>
            <m:sub>
              <m:r>
                <m:t>D,p</m:t>
              </m:r>
            </m:sub>
          </m:sSub>
          <m:r>
            <m:t> = </m:t>
          </m:r>
          <m:sSub>
            <m:e>
              <m:r>
                <m:t>f</m:t>
              </m:r>
            </m:e>
            <m:sub>
              <m:r>
                <m:t>D,p</m:t>
              </m:r>
            </m:sub>
          </m:sSub>
          <m:r>
            <m:t> / max(‖</m:t>
          </m:r>
          <m:sSub>
            <m:e>
              <m:r>
                <m:t>f</m:t>
              </m:r>
            </m:e>
            <m:sub>
              <m:r>
                <m:t>D,p</m:t>
              </m:r>
            </m:sub>
          </m:sSub>
          <m:sSub>
            <m:e>
              <m:r>
                <m:t>‖</m:t>
              </m:r>
            </m:e>
            <m:sub>
              <m:r>
                <m:t>2</m:t>
              </m:r>
            </m:sub>
          </m:sSub>
          <m:r>
            <m:t>, ε),    </m:t>
          </m:r>
          <m:sSub>
            <m:e>
              <m:r>
                <m:t>g</m:t>
              </m:r>
            </m:e>
            <m:sub>
              <m:r>
                <m:t>C,p</m:t>
              </m:r>
            </m:sub>
          </m:sSub>
          <m:r>
            <m:t> = </m:t>
          </m:r>
          <m:sSub>
            <m:e>
              <m:r>
                <m:t>f</m:t>
              </m:r>
            </m:e>
            <m:sub>
              <m:r>
                <m:t>C→D,p</m:t>
              </m:r>
            </m:sub>
          </m:sSub>
          <m:r>
            <m:t> / max(‖</m:t>
          </m:r>
          <m:sSub>
            <m:e>
              <m:r>
                <m:t>f</m:t>
              </m:r>
            </m:e>
            <m:sub>
              <m:r>
                <m:t>C→D,p</m:t>
              </m:r>
            </m:sub>
          </m:sSub>
          <m:sSub>
            <m:e>
              <m:r>
                <m:t>‖</m:t>
              </m:r>
            </m:e>
            <m:sub>
              <m:r>
                <m:t>2</m:t>
              </m:r>
            </m:sub>
          </m:sSub>
          <m:r>
            <m:t>, ε).</m:t>
          </m:r>
        </m:oMath>
      </m:oMathPara>
    </w:p>
    <w:p>
      <w:pPr>
        <w:spacing w:before="100" w:after="140"/>
        <w:jc w:val="center"/>
      </w:pPr>
      <m:oMathPara>
        <m:oMath>
          <m:sSub>
            <m:e>
              <m:r>
                <m:t>f</m:t>
              </m:r>
            </m:e>
            <m:sub>
              <m:r>
                <m:t>A,p</m:t>
              </m:r>
            </m:sub>
          </m:sSub>
          <m:r>
            <m:t> = Norm([α </m:t>
          </m:r>
          <m:sSub>
            <m:e>
              <m:r>
                <m:t>g</m:t>
              </m:r>
            </m:e>
            <m:sub>
              <m:r>
                <m:t>D,p</m:t>
              </m:r>
            </m:sub>
          </m:sSub>
          <m:r>
            <m:t> ; (1 − α) </m:t>
          </m:r>
          <m:sSub>
            <m:e>
              <m:r>
                <m:t>g</m:t>
              </m:r>
            </m:e>
            <m:sub>
              <m:r>
                <m:t>C,p</m:t>
              </m:r>
            </m:sub>
          </m:sSub>
          <m:r>
            <m:t>]),    α = 0.5,    dim(</m:t>
          </m:r>
          <m:sSub>
            <m:e>
              <m:r>
                <m:t>f</m:t>
              </m:r>
            </m:e>
            <m:sub>
              <m:r>
                <m:t>A,p</m:t>
              </m:r>
            </m:sub>
          </m:sSub>
          <m:r>
            <m:t>) = 1536.</m:t>
          </m:r>
        </m:oMath>
      </m:oMathPara>
    </w:p>
    <w:p>
      <w:pPr>
        <w:spacing w:before="0" w:after="120" w:line="300" w:lineRule="auto"/>
        <w:ind w:firstLine="360"/>
        <w:jc w:val="both"/>
      </w:pPr>
      <w:r>
        <w:rPr>
          <w:rFonts w:ascii="Times New Roman" w:hAnsi="Times New Roman" w:eastAsia="Times New Roman"/>
          <w:color w:val="000000"/>
          <w:sz w:val="22"/>
        </w:rPr>
        <w:t>The equal coefficients are frozen protocol constants, not learned gates. Because the complete concatenated vector is renormalized, the construction should be interpreted as equal branch scaling before a joint distance computation, rather than as a probabilistic average of two anomaly scores. The operation yields a 1536-dimensional descriptor at every DINO-grid location. In this manuscript, calibrated fusion therefore has a precise and limited meaning: resolution alignment plus branch-wise magnitude normalization before fixed feature concatenation.</w:t>
      </w:r>
    </w:p>
    <w:p>
      <w:pPr>
        <w:pStyle w:val="Heading2"/>
        <w:keepNext/>
      </w:pPr>
      <w:r>
        <w:rPr>
          <w:rFonts w:ascii="Times New Roman" w:hAnsi="Times New Roman" w:eastAsia="Times New Roman"/>
          <w:b/>
          <w:color w:val="000000"/>
          <w:sz w:val="25"/>
        </w:rPr>
        <w:t>3.5 Normal Reference Memory and Anomaly Scoring</w:t>
      </w:r>
    </w:p>
    <w:p>
      <w:pPr>
        <w:spacing w:before="0" w:after="120" w:line="300" w:lineRule="auto"/>
        <w:ind w:firstLine="360"/>
        <w:jc w:val="both"/>
      </w:pPr>
      <w:r>
        <w:rPr>
          <w:rFonts w:ascii="Times New Roman" w:hAnsi="Times New Roman" w:eastAsia="Times New Roman"/>
          <w:color w:val="000000"/>
          <w:sz w:val="22"/>
        </w:rPr>
        <w:t>For category c, the fused normal memory is the union of all calibrated patch descriptors extracted from its K support images:</w:t>
      </w:r>
    </w:p>
    <w:p>
      <w:pPr>
        <w:spacing w:before="100" w:after="140"/>
        <w:jc w:val="center"/>
      </w:pPr>
      <m:oMathPara>
        <m:oMath>
          <m:sSub>
            <m:e>
              <m:r>
                <m:t>M</m:t>
              </m:r>
            </m:e>
            <m:sub>
              <m:r>
                <m:t>c</m:t>
              </m:r>
            </m:sub>
          </m:sSub>
          <m:r>
            <m:t> = </m:t>
          </m:r>
          <m:sSubSup>
            <m:e>
              <m:r>
                <m:t>⋃</m:t>
              </m:r>
            </m:e>
            <m:sub>
              <m:r>
                <m:t>i=1</m:t>
              </m:r>
            </m:sub>
            <m:sup>
              <m:r>
                <m:t>K</m:t>
              </m:r>
            </m:sup>
          </m:sSubSup>
          <m:r>
            <m:t> { </m:t>
          </m:r>
          <m:sSub>
            <m:e>
              <m:r>
                <m:t>f</m:t>
              </m:r>
            </m:e>
            <m:sub>
              <m:r>
                <m:t>A,p</m:t>
              </m:r>
            </m:sub>
          </m:sSub>
          <m:r>
            <m:t>(</m:t>
          </m:r>
          <m:sSubSup>
            <m:e>
              <m:r>
                <m:t>x</m:t>
              </m:r>
            </m:e>
            <m:sub>
              <m:r>
                <m:t>i</m:t>
              </m:r>
            </m:sub>
            <m:sup>
              <m:r>
                <m:t>c</m:t>
              </m:r>
            </m:sup>
          </m:sSubSup>
          <m:r>
            <m:t>) | p ∈ </m:t>
          </m:r>
          <m:sSub>
            <m:e>
              <m:r>
                <m:t>G</m:t>
              </m:r>
            </m:e>
            <m:sub>
              <m:r>
                <m:t>D</m:t>
              </m:r>
            </m:sub>
          </m:sSub>
          <m:r>
            <m:t> }.</m:t>
          </m:r>
        </m:oMath>
      </m:oMathPara>
    </w:p>
    <w:p>
      <w:pPr>
        <w:spacing w:before="0" w:after="120" w:line="300" w:lineRule="auto"/>
        <w:ind w:firstLine="360"/>
        <w:jc w:val="both"/>
      </w:pPr>
      <w:r>
        <w:rPr>
          <w:rFonts w:ascii="Times New Roman" w:hAnsi="Times New Roman" w:eastAsia="Times New Roman"/>
          <w:color w:val="000000"/>
          <w:sz w:val="22"/>
        </w:rPr>
        <w:t>The descriptors are stored in an exact FAISS IndexFlatL2 index [33]. For query patch p, the squared Euclidean distance to its nearest normal descriptor defines the raw anomaly score:</w:t>
      </w:r>
    </w:p>
    <w:p>
      <w:pPr>
        <w:spacing w:before="100" w:after="140"/>
        <w:jc w:val="center"/>
      </w:pPr>
      <m:oMathPara>
        <m:oMath>
          <m:sSub>
            <m:e>
              <m:r>
                <m:t>a</m:t>
              </m:r>
            </m:e>
            <m:sub>
              <m:r>
                <m:t>p</m:t>
              </m:r>
            </m:sub>
          </m:sSub>
          <m:r>
            <m:t>(x) = </m:t>
          </m:r>
          <m:f>
            <m:num>
              <m:r>
                <m:t>1</m:t>
              </m:r>
            </m:num>
            <m:den>
              <m:r>
                <m:t>2</m:t>
              </m:r>
            </m:den>
          </m:f>
          <m:r>
            <m:t> </m:t>
          </m:r>
          <m:sSub>
            <m:e>
              <m:r>
                <m:t>min</m:t>
              </m:r>
            </m:e>
            <m:sub>
              <m:r>
                <m:t>m∈M_c</m:t>
              </m:r>
            </m:sub>
          </m:sSub>
          <m:r>
            <m:t> </m:t>
          </m:r>
          <m:sSubSup>
            <m:e>
              <m:r>
                <m:t>‖</m:t>
              </m:r>
              <m:sSub>
                <m:e>
                  <m:r>
                    <m:t>f</m:t>
                  </m:r>
                </m:e>
                <m:sub>
                  <m:r>
                    <m:t>A,p</m:t>
                  </m:r>
                </m:sub>
              </m:sSub>
              <m:r>
                <m:t>(x) − m‖</m:t>
              </m:r>
            </m:e>
            <m:sub>
              <m:r>
                <m:t>2</m:t>
              </m:r>
            </m:sub>
            <m:sup>
              <m:r>
                <m:t>2</m:t>
              </m:r>
            </m:sup>
          </m:sSubSup>
          <m:r>
            <m:t>.</m:t>
          </m:r>
        </m:oMath>
      </m:oMathPara>
    </w:p>
    <w:p>
      <w:pPr>
        <w:spacing w:before="0" w:after="120" w:line="300" w:lineRule="auto"/>
        <w:ind w:firstLine="360"/>
        <w:jc w:val="both"/>
      </w:pPr>
      <w:r>
        <w:rPr>
          <w:rFonts w:ascii="Times New Roman" w:hAnsi="Times New Roman" w:eastAsia="Times New Roman"/>
          <w:color w:val="000000"/>
          <w:sz w:val="22"/>
        </w:rPr>
        <w:t>All fused descriptors are unit-normalized; consequently, one half of their squared Euclidean distance equals cosine distance. The factor 1/2 therefore preserves a convenient distance interpretation without changing score ordering. The patch scores are arranged on the DINO grid, bilinearly resized to 448 x 448, and then filtered with a Gaussian kernel of sigma = 4 to produce S_448(x). The image-level score is obtained by maximum pooling, s_img(x) = max_u S_448,u(x), so that a strongly anomalous local region can trigger image-level inspection. This aggregation is fixed for DCFnet and the matched control.</w:t>
      </w:r>
    </w:p>
    <w:p>
      <w:pPr>
        <w:pStyle w:val="Heading2"/>
        <w:keepNext/>
      </w:pPr>
      <w:r>
        <w:rPr>
          <w:rFonts w:ascii="Times New Roman" w:hAnsi="Times New Roman" w:eastAsia="Times New Roman"/>
          <w:b/>
          <w:color w:val="000000"/>
          <w:sz w:val="25"/>
        </w:rPr>
        <w:t>3.6 Matched Control, Complexity, and Protocol Integrity</w:t>
      </w:r>
    </w:p>
    <w:p>
      <w:pPr>
        <w:spacing w:before="0" w:after="120" w:line="300" w:lineRule="auto"/>
        <w:ind w:firstLine="360"/>
        <w:jc w:val="both"/>
      </w:pPr>
      <w:r>
        <w:rPr>
          <w:rFonts w:ascii="Times New Roman" w:hAnsi="Times New Roman" w:eastAsia="Times New Roman"/>
          <w:color w:val="000000"/>
          <w:sz w:val="22"/>
        </w:rPr>
        <w:t>The matched DINO-only control removes the DPAM-modified CLIP branch and the concatenation step but retains the identical DINOv2 descriptors, support-image identities, K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spacing w:before="0" w:after="120" w:line="300" w:lineRule="auto"/>
        <w:ind w:firstLine="360"/>
        <w:jc w:val="both"/>
      </w:pPr>
      <w:r>
        <w:rPr>
          <w:rFonts w:ascii="Times New Roman" w:hAnsi="Times New Roman" w:eastAsia="Times New Roman"/>
          <w:color w:val="000000"/>
          <w:sz w:val="22"/>
        </w:rPr>
        <w:t>DCFnet introduces zero trainable parameters in the target-domain pipeline. This property eliminates optimization time but does not make inference free: both frozen encoders must execute, and the fused memory has twice the descriptor dimensionality of the DINO-only memory. If P = h_D w_D patches are retained per reference image, the category memory contains approximately KP vectors of dimension 1536, while exact search scales linearly with the stored memory size. Accordingly, the paper treats training cost, inference latency, and memory consumption as distinct quantities and does not claim zero computational overhead.</w:t>
      </w:r>
    </w:p>
    <w:p>
      <w:pPr>
        <w:spacing w:before="0" w:after="120" w:line="300" w:lineRule="auto"/>
        <w:ind w:firstLine="360"/>
        <w:jc w:val="both"/>
      </w:pPr>
      <w:r>
        <w:rPr>
          <w:rFonts w:ascii="Times New Roman" w:hAnsi="Times New Roman" w:eastAsia="Times New Roman"/>
          <w:color w:val="000000"/>
          <w:sz w:val="22"/>
        </w:rPr>
        <w:t>Finally, the pipeline follows a strict leakage contract. Test labels, pixel masks, test-set statistics, and category-specific test outcomes are unavailable when defining alpha, the distance rule, or post-processing. MPDD is used for development; the frozen configuration is then evaluated on BTAD and MVTec AD as external validation domains. VisA is reported as a frozen in-domain validation set because of the lineage of the AnomalyCLIP checkpoint and is not described as independent external generalization. This explicit data-role distinction prevents the pretrained second branch from being presented as if it had no relationship to every evaluation domain.</w:t>
      </w:r>
    </w:p>
    <w:p>
      <w:pPr>
        <w:pStyle w:val="Heading1"/>
        <w:keepNext/>
      </w:pPr>
      <w:r>
        <w:rPr>
          <w:rFonts w:ascii="Times New Roman" w:hAnsi="Times New Roman" w:eastAsia="Times New Roman"/>
          <w:b/>
          <w:color w:val="000000"/>
          <w:sz w:val="30"/>
        </w:rPr>
        <w:t>References</w:t>
      </w:r>
    </w:p>
    <w:p>
      <w:pPr>
        <w:spacing w:after="60" w:line="252" w:lineRule="auto"/>
        <w:ind w:left="360" w:hanging="360"/>
      </w:pPr>
      <w:r>
        <w:rPr>
          <w:rFonts w:ascii="Times New Roman" w:hAnsi="Times New Roman" w:eastAsia="Times New Roman"/>
          <w:color w:val="000000"/>
          <w:sz w:val="17"/>
        </w:rPr>
        <w:t>[1] P. Bergmann, M. Fauser, D. Sattlegger, and C. Steger, 'MVTec AD - A comprehensive real-world dataset for unsupervised anomaly detection,' in Proc. IEEE/CVF Conf. Comput. Vis. Pattern Recognit. (CVPR), 2019, pp. 9592-9600.</w:t>
      </w:r>
    </w:p>
    <w:p>
      <w:pPr>
        <w:spacing w:after="60" w:line="252" w:lineRule="auto"/>
        <w:ind w:left="360" w:hanging="360"/>
      </w:pPr>
      <w:r>
        <w:rPr>
          <w:rFonts w:ascii="Times New Roman" w:hAnsi="Times New Roman" w:eastAsia="Times New Roman"/>
          <w:color w:val="000000"/>
          <w:sz w:val="17"/>
        </w:rPr>
        <w:t>[2] Y. Zou, J. Jeong, L. Pemula, D. Zhang, and O. Dabeer, 'SPot-the-Difference self-supervised pre-training for anomaly detection and segmentation,' in Proc. Eur. Conf. Comput. Vis. (ECCV), 2022, pp. 392-408.</w:t>
      </w:r>
    </w:p>
    <w:p>
      <w:pPr>
        <w:spacing w:after="60" w:line="252" w:lineRule="auto"/>
        <w:ind w:left="360" w:hanging="360"/>
      </w:pPr>
      <w:r>
        <w:rPr>
          <w:rFonts w:ascii="Times New Roman" w:hAnsi="Times New Roman" w:eastAsia="Times New Roman"/>
          <w:color w:val="000000"/>
          <w:sz w:val="17"/>
        </w:rPr>
        <w:t>[3]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60" w:line="252" w:lineRule="auto"/>
        <w:ind w:left="360" w:hanging="360"/>
      </w:pPr>
      <w:r>
        <w:rPr>
          <w:rFonts w:ascii="Times New Roman" w:hAnsi="Times New Roman" w:eastAsia="Times New Roman"/>
          <w:color w:val="000000"/>
          <w:sz w:val="17"/>
        </w:rPr>
        <w:t>[4] P. Mishra, R. Verk, D. Fornasier, C. Piciarelli, and G. L. Foresti, 'VT-ADL: A vision transformer network for image anomaly detection and localization,' in Proc. IEEE 30th Int. Symp. Ind. Electron., 2021, pp. 1-6, doi: 10.1109/ISIE45552.2021.9576231.</w:t>
      </w:r>
    </w:p>
    <w:p>
      <w:pPr>
        <w:spacing w:after="60" w:line="252" w:lineRule="auto"/>
        <w:ind w:left="360" w:hanging="360"/>
      </w:pPr>
      <w:r>
        <w:rPr>
          <w:rFonts w:ascii="Times New Roman" w:hAnsi="Times New Roman" w:eastAsia="Times New Roman"/>
          <w:color w:val="000000"/>
          <w:sz w:val="17"/>
        </w:rPr>
        <w:t>[5] K. Roth, L. Pemula, J. Zepeda, B. Scholkopf, T. Brox, and P. Gehler, 'Towards total recall in industrial anomaly detection,' in Proc. IEEE/CVF Conf. Comput. Vis. Pattern Recognit. (CVPR), 2022, pp. 14318-14328.</w:t>
      </w:r>
    </w:p>
    <w:p>
      <w:pPr>
        <w:spacing w:after="60" w:line="252" w:lineRule="auto"/>
        <w:ind w:left="360" w:hanging="360"/>
      </w:pPr>
      <w:r>
        <w:rPr>
          <w:rFonts w:ascii="Times New Roman" w:hAnsi="Times New Roman" w:eastAsia="Times New Roman"/>
          <w:color w:val="000000"/>
          <w:sz w:val="17"/>
        </w:rPr>
        <w:t>[6] M. Oquab et al., 'DINOv2: Learning robust visual features without supervision,' Trans. Mach. Learn. Res., 2024.</w:t>
      </w:r>
    </w:p>
    <w:p>
      <w:pPr>
        <w:spacing w:after="60" w:line="252" w:lineRule="auto"/>
        <w:ind w:left="360" w:hanging="360"/>
      </w:pPr>
      <w:r>
        <w:rPr>
          <w:rFonts w:ascii="Times New Roman" w:hAnsi="Times New Roman" w:eastAsia="Times New Roman"/>
          <w:color w:val="000000"/>
          <w:sz w:val="17"/>
        </w:rPr>
        <w:t>[7] S. Damm, M. Laszkiewicz, J. Lederer, and A. Fischer, 'AnomalyDINO: Boosting patch-based few-shot anomaly detection with DINOv2,' in Proc. IEEE/CVF Winter Conf. Appl. Comput. Vis. (WACV), 2025, pp. 1319-1329.</w:t>
      </w:r>
    </w:p>
    <w:p>
      <w:pPr>
        <w:spacing w:after="60" w:line="252" w:lineRule="auto"/>
        <w:ind w:left="360" w:hanging="360"/>
      </w:pPr>
      <w:r>
        <w:rPr>
          <w:rFonts w:ascii="Times New Roman" w:hAnsi="Times New Roman" w:eastAsia="Times New Roman"/>
          <w:color w:val="000000"/>
          <w:sz w:val="17"/>
        </w:rPr>
        <w:t>[8] A. Radford et al., 'Learning transferable visual models from natural language supervision,' in Proc. 38th Int. Conf. Mach. Learn., vol. 139, 2021, pp. 8748-8763.</w:t>
      </w:r>
    </w:p>
    <w:p>
      <w:pPr>
        <w:spacing w:after="60" w:line="252" w:lineRule="auto"/>
        <w:ind w:left="360" w:hanging="360"/>
      </w:pPr>
      <w:r>
        <w:rPr>
          <w:rFonts w:ascii="Times New Roman" w:hAnsi="Times New Roman" w:eastAsia="Times New Roman"/>
          <w:color w:val="000000"/>
          <w:sz w:val="17"/>
        </w:rPr>
        <w:t>[9] J. Jeong, Y. Zou, T. Kim, D. Zhang, A. Ravichandran, and O. Dabeer, 'WinCLIP: Zero-/few-shot anomaly classification and segmentation,' in Proc. IEEE/CVF Conf. Comput. Vis. Pattern Recognit. (CVPR), 2023, pp. 19606-19616.</w:t>
      </w:r>
    </w:p>
    <w:p>
      <w:pPr>
        <w:spacing w:after="60" w:line="252" w:lineRule="auto"/>
        <w:ind w:left="360" w:hanging="360"/>
      </w:pPr>
      <w:r>
        <w:rPr>
          <w:rFonts w:ascii="Times New Roman" w:hAnsi="Times New Roman" w:eastAsia="Times New Roman"/>
          <w:color w:val="000000"/>
          <w:sz w:val="17"/>
        </w:rPr>
        <w:t>[10] Q. Zhou, G. Pang, Y. Tian, S. He, and J. Chen, 'AnomalyCLIP: Object-agnostic prompt learning for zero-shot anomaly detection,' in Proc. Int. Conf. Learn. Represent. (ICLR), 2024.</w:t>
      </w:r>
    </w:p>
    <w:p>
      <w:pPr>
        <w:spacing w:after="60" w:line="252" w:lineRule="auto"/>
        <w:ind w:left="360" w:hanging="360"/>
      </w:pPr>
      <w:r>
        <w:rPr>
          <w:rFonts w:ascii="Times New Roman" w:hAnsi="Times New Roman" w:eastAsia="Times New Roman"/>
          <w:color w:val="000000"/>
          <w:sz w:val="17"/>
        </w:rPr>
        <w:t>[11] X. Li, Z. Zhang, X. Tan, C. Chen, Y. Qu, Y. Xie, and L. Ma, 'PromptAD: Learning prompts with only normal samples for few-shot anomaly detection,' in Proc. IEEE/CVF Conf. Comput. Vis. Pattern Recognit. (CVPR), 2024, pp. 16838-16848.</w:t>
      </w:r>
    </w:p>
    <w:p>
      <w:pPr>
        <w:spacing w:after="60" w:line="252" w:lineRule="auto"/>
        <w:ind w:left="360" w:hanging="360"/>
      </w:pPr>
      <w:r>
        <w:rPr>
          <w:rFonts w:ascii="Times New Roman" w:hAnsi="Times New Roman" w:eastAsia="Times New Roman"/>
          <w:color w:val="000000"/>
          <w:sz w:val="17"/>
        </w:rPr>
        <w:t>[12] X. Guo, Z. Chen, C. D. Castillo, H. Wang, and X. Liu, 'Sea-CLIP: Mining semantic-aware representations for few-shot anomaly detection with CLIP,' in Proc. IEEE/CVF Winter Conf. Appl. Comput. Vis. (WACV), 2026, pp. 3689-3699.</w:t>
      </w:r>
    </w:p>
    <w:p>
      <w:pPr>
        <w:spacing w:after="60" w:line="252" w:lineRule="auto"/>
        <w:ind w:left="360" w:hanging="360"/>
      </w:pPr>
      <w:r>
        <w:rPr>
          <w:rFonts w:ascii="Times New Roman" w:hAnsi="Times New Roman" w:eastAsia="Times New Roman"/>
          <w:color w:val="000000"/>
          <w:sz w:val="17"/>
        </w:rPr>
        <w:t>[13] M. Yang, J. Liu, Z. Yang, and Z. Wu, 'SLSG: Industrial image anomaly detection with improved feature embeddings and one-class classification,' Pattern Recognit., vol. 156, Art. no. 110862, 2024, doi: 10.1016/j.patcog.2024.110862.</w:t>
      </w:r>
    </w:p>
    <w:p>
      <w:pPr>
        <w:spacing w:after="60" w:line="252" w:lineRule="auto"/>
        <w:ind w:left="360" w:hanging="360"/>
      </w:pPr>
      <w:r>
        <w:rPr>
          <w:rFonts w:ascii="Times New Roman" w:hAnsi="Times New Roman" w:eastAsia="Times New Roman"/>
          <w:color w:val="000000"/>
          <w:sz w:val="17"/>
        </w:rPr>
        <w:t>[14] X. Zhang, M. Xu, and X. Zhou, 'RealNet: A feature selection network with realistic synthetic anomaly for anomaly detection,' in Proc. IEEE/CVF Conf. Comput. Vis. Pattern Recognit. (CVPR), 2024, pp. 16699-16708.</w:t>
      </w:r>
    </w:p>
    <w:p>
      <w:pPr>
        <w:spacing w:after="60" w:line="252" w:lineRule="auto"/>
        <w:ind w:left="360" w:hanging="360"/>
      </w:pPr>
      <w:r>
        <w:rPr>
          <w:rFonts w:ascii="Times New Roman" w:hAnsi="Times New Roman" w:eastAsia="Times New Roman"/>
          <w:color w:val="000000"/>
          <w:sz w:val="17"/>
        </w:rPr>
        <w:t>[15] Y. Bai, J. Zhang, Z. Chen, Y. Dong, Y. Cao, and G. Tian, 'Dual-path frequency discriminators for few-shot anomaly detection,' Knowl.-Based Syst., vol. 302, Art. no. 112397, 2024, doi: 10.1016/j.knosys.2024.112397.</w:t>
      </w:r>
    </w:p>
    <w:p>
      <w:pPr>
        <w:spacing w:after="60" w:line="252" w:lineRule="auto"/>
        <w:ind w:left="360" w:hanging="360"/>
      </w:pPr>
      <w:r>
        <w:rPr>
          <w:rFonts w:ascii="Times New Roman" w:hAnsi="Times New Roman" w:eastAsia="Times New Roman"/>
          <w:color w:val="000000"/>
          <w:sz w:val="17"/>
        </w:rPr>
        <w:t>[16] A. Luo, G. Wen, Y. Cheng, S. Mei, H. Dong, and X. Liu, 'DMMGNet: A discrimination mapping and memory bank mean guidance-based network for high-performance few-shot industrial anomaly detection,' Neurocomputing, vol. 610, Art. no. 128622, 2024, doi: 10.1016/j.neucom.2024.128622.</w:t>
      </w:r>
    </w:p>
    <w:p>
      <w:pPr>
        <w:spacing w:after="60" w:line="252" w:lineRule="auto"/>
        <w:ind w:left="360" w:hanging="360"/>
      </w:pPr>
      <w:r>
        <w:rPr>
          <w:rFonts w:ascii="Times New Roman" w:hAnsi="Times New Roman" w:eastAsia="Times New Roman"/>
          <w:color w:val="000000"/>
          <w:sz w:val="17"/>
        </w:rPr>
        <w:t>[17] T. Defard, A. Setkov, A. Loesch, and R. Audigier, 'PaDiM: A patch distribution modeling framework for anomaly detection and localization,' in Pattern Recognition. ICPR International Workshops and Challenges, 2021, pp. 475-489, doi: 10.1007/978-3-030-68799-1_35.</w:t>
      </w:r>
    </w:p>
    <w:p>
      <w:pPr>
        <w:spacing w:after="60" w:line="252" w:lineRule="auto"/>
        <w:ind w:left="360" w:hanging="360"/>
      </w:pPr>
      <w:r>
        <w:rPr>
          <w:rFonts w:ascii="Times New Roman" w:hAnsi="Times New Roman" w:eastAsia="Times New Roman"/>
          <w:color w:val="000000"/>
          <w:sz w:val="17"/>
        </w:rPr>
        <w:t>[18] Z. Hu, X. Zeng, Y. Li, Z. Yin, E. Meng, L. Zhu, and X. Kong, 'Few-shot anomaly detection with adaptive feature transformation and descriptor construction,' Chin. J. Aeronaut., vol. 38, no. 3, Art. no. 103098, 2025, doi: 10.1016/j.cja.2024.06.007.</w:t>
      </w:r>
    </w:p>
    <w:p>
      <w:pPr>
        <w:spacing w:after="60" w:line="252" w:lineRule="auto"/>
        <w:ind w:left="360" w:hanging="360"/>
      </w:pPr>
      <w:r>
        <w:rPr>
          <w:rFonts w:ascii="Times New Roman" w:hAnsi="Times New Roman" w:eastAsia="Times New Roman"/>
          <w:color w:val="000000"/>
          <w:sz w:val="17"/>
        </w:rPr>
        <w:t>[19] S. Wei, X. Wei, Z. Ma, S. Dong, S. Zhang, and Y. Gong, 'Few-shot online anomaly detection and segmentation,' Knowl.-Based Syst., vol. 300, Art. no. 112168, 2024, doi: 10.1016/j.knosys.2024.112168.</w:t>
      </w:r>
    </w:p>
    <w:p>
      <w:pPr>
        <w:spacing w:after="60" w:line="252" w:lineRule="auto"/>
        <w:ind w:left="360" w:hanging="360"/>
      </w:pPr>
      <w:r>
        <w:rPr>
          <w:rFonts w:ascii="Times New Roman" w:hAnsi="Times New Roman" w:eastAsia="Times New Roman"/>
          <w:color w:val="000000"/>
          <w:sz w:val="17"/>
        </w:rPr>
        <w:t>[20] J. Zhou, W. Wong, and F. Liao, 'One-shot unsupervised industrial anomaly detection: Enhanced performance under extreme data scarcity,' Pattern Recognit., vol. 173, Art. no. 112759, 2026, doi: 10.1016/j.patcog.2025.112759.</w:t>
      </w:r>
    </w:p>
    <w:p>
      <w:pPr>
        <w:spacing w:after="60" w:line="252" w:lineRule="auto"/>
        <w:ind w:left="360" w:hanging="360"/>
      </w:pPr>
      <w:r>
        <w:rPr>
          <w:rFonts w:ascii="Times New Roman" w:hAnsi="Times New Roman" w:eastAsia="Times New Roman"/>
          <w:color w:val="000000"/>
          <w:sz w:val="17"/>
        </w:rPr>
        <w:t>[21] Y. Li, L. Tian, Y. Dai, W. Chen, L. Bao, and X. Liu, 'FastRef: Fast prototype refinement for few-shot industrial anomaly detection,' in Proc. IEEE/CVF Conf. Comput. Vis. Pattern Recognit. (CVPR), 2026, pp. 43040-43049.</w:t>
      </w:r>
    </w:p>
    <w:p>
      <w:pPr>
        <w:spacing w:after="60" w:line="252" w:lineRule="auto"/>
        <w:ind w:left="360" w:hanging="360"/>
      </w:pPr>
      <w:r>
        <w:rPr>
          <w:rFonts w:ascii="Times New Roman" w:hAnsi="Times New Roman" w:eastAsia="Times New Roman"/>
          <w:color w:val="000000"/>
          <w:sz w:val="17"/>
        </w:rPr>
        <w:t>[22] Z. Gu, B. Zhu, G. Zhu, Y. Chen, M. Tang, and J. Wang, 'UniVAD: A training-free unified model for few-shot visual anomaly detection,' in Proc. IEEE/CVF Conf. Comput. Vis. Pattern Recognit. (CVPR), 2025, pp. 15194-15203.</w:t>
      </w:r>
    </w:p>
    <w:p>
      <w:pPr>
        <w:spacing w:after="60" w:line="252" w:lineRule="auto"/>
        <w:ind w:left="360" w:hanging="360"/>
      </w:pPr>
      <w:r>
        <w:rPr>
          <w:rFonts w:ascii="Times New Roman" w:hAnsi="Times New Roman" w:eastAsia="Times New Roman"/>
          <w:color w:val="000000"/>
          <w:sz w:val="17"/>
        </w:rPr>
        <w:t>[23] C. Lendering, E. Akdag, and E. Bondarau, 'SubspaceAD: Training-free few-shot anomaly detection via subspace modeling,' in Proc. IEEE/CVF Conf. Comput. Vis. Pattern Recognit. (CVPR), 2026, pp. 28557-28566.</w:t>
      </w:r>
    </w:p>
    <w:p>
      <w:pPr>
        <w:spacing w:after="60" w:line="252" w:lineRule="auto"/>
        <w:ind w:left="360" w:hanging="360"/>
      </w:pPr>
      <w:r>
        <w:rPr>
          <w:rFonts w:ascii="Times New Roman" w:hAnsi="Times New Roman" w:eastAsia="Times New Roman"/>
          <w:color w:val="000000"/>
          <w:sz w:val="17"/>
        </w:rPr>
        <w:t>[24] L. Jiang, Y. Huang, Z. Xu, Y. Xu, H.-S. Wong, and S. Wu, 'Defect cue-preserved structural feature refinement for few-shot anomaly detection,' in Proc. IEEE/CVF Conf. Comput. Vis. Pattern Recognit. (CVPR), 2026, pp. 35607-35616.</w:t>
      </w:r>
    </w:p>
    <w:p>
      <w:pPr>
        <w:spacing w:after="60" w:line="252" w:lineRule="auto"/>
        <w:ind w:left="360" w:hanging="360"/>
      </w:pPr>
      <w:r>
        <w:rPr>
          <w:rFonts w:ascii="Times New Roman" w:hAnsi="Times New Roman" w:eastAsia="Times New Roman"/>
          <w:color w:val="000000"/>
          <w:sz w:val="17"/>
        </w:rPr>
        <w:t>[25] J. Zhu and G. Pang, 'Toward generalist anomaly detection via in-context residual learning with few-shot sample prompts,' in Proc. IEEE/CVF Conf. Comput. Vis. Pattern Recognit. (CVPR), 2024, pp. 17826-17836.</w:t>
      </w:r>
    </w:p>
    <w:p>
      <w:pPr>
        <w:spacing w:after="60" w:line="252" w:lineRule="auto"/>
        <w:ind w:left="360" w:hanging="360"/>
      </w:pPr>
      <w:r>
        <w:rPr>
          <w:rFonts w:ascii="Times New Roman" w:hAnsi="Times New Roman" w:eastAsia="Times New Roman"/>
          <w:color w:val="000000"/>
          <w:sz w:val="17"/>
        </w:rPr>
        <w:t>[26] W. Ma et al., 'AA-CLIP: Enhancing zero-shot anomaly detection via anomaly-aware CLIP,' in Proc. IEEE/CVF Conf. Comput. Vis. Pattern Recognit. (CVPR), 2025, pp. 4744-4754.</w:t>
      </w:r>
    </w:p>
    <w:p>
      <w:pPr>
        <w:spacing w:after="60" w:line="252" w:lineRule="auto"/>
        <w:ind w:left="360" w:hanging="360"/>
      </w:pPr>
      <w:r>
        <w:rPr>
          <w:rFonts w:ascii="Times New Roman" w:hAnsi="Times New Roman" w:eastAsia="Times New Roman"/>
          <w:color w:val="000000"/>
          <w:sz w:val="17"/>
        </w:rPr>
        <w:t>[27] J. Zhu, Y.-S. Ong, C. Shen, and G. Pang, 'Fine-grained abnormality prompt learning for zero-shot anomaly detection,' in Proc. IEEE/CVF Int. Conf. Comput. Vis. (ICCV), 2025, pp. 22241-22251.</w:t>
      </w:r>
    </w:p>
    <w:p>
      <w:pPr>
        <w:spacing w:after="60" w:line="252" w:lineRule="auto"/>
        <w:ind w:left="360" w:hanging="360"/>
      </w:pPr>
      <w:r>
        <w:rPr>
          <w:rFonts w:ascii="Times New Roman" w:hAnsi="Times New Roman" w:eastAsia="Times New Roman"/>
          <w:color w:val="000000"/>
          <w:sz w:val="17"/>
        </w:rPr>
        <w:t>[28] H. Ma, G. Yang, D. Zhao, Y. Ji, and W. Zuo, 'ReMP-AD: Retrieval-enhanced multi-modal prompt fusion for few-shot industrial visual anomaly detection,' in Proc. IEEE/CVF Int. Conf. Comput. Vis. (ICCV), 2025, pp. 20425-20434, doi: 10.1109/ICCV51701.2025.01899.</w:t>
      </w:r>
    </w:p>
    <w:p>
      <w:pPr>
        <w:spacing w:after="60" w:line="252" w:lineRule="auto"/>
        <w:ind w:left="360" w:hanging="360"/>
      </w:pPr>
      <w:r>
        <w:rPr>
          <w:rFonts w:ascii="Times New Roman" w:hAnsi="Times New Roman" w:eastAsia="Times New Roman"/>
          <w:color w:val="000000"/>
          <w:sz w:val="17"/>
        </w:rPr>
        <w:t>[29] L. Xu, D. Han, G. Li, M. Zhou, J. Wan, and M. Li, 'Multimodal feature cooperative refinement for few-shot anomaly detection,' Adv. Eng. Inform., vol. 68, pt. C, Art. no. 103792, 2025, doi: 10.1016/j.aei.2025.103792.</w:t>
      </w:r>
    </w:p>
    <w:p>
      <w:pPr>
        <w:spacing w:after="60" w:line="252" w:lineRule="auto"/>
        <w:ind w:left="360" w:hanging="360"/>
      </w:pPr>
      <w:r>
        <w:rPr>
          <w:rFonts w:ascii="Times New Roman" w:hAnsi="Times New Roman" w:eastAsia="Times New Roman"/>
          <w:color w:val="000000"/>
          <w:sz w:val="17"/>
        </w:rPr>
        <w:t>[30] R. Ma, C. Li, J. Chen, Y. Feng, and J. Xie, 'PAPL: Particle-based adaptive prompt learning for zero-shot industrial anomaly detection,' Pattern Recognit., vol. 178, Art. no. 113489, 2026, doi: 10.1016/j.patcog.2026.113489.</w:t>
      </w:r>
    </w:p>
    <w:p>
      <w:pPr>
        <w:spacing w:after="60" w:line="252" w:lineRule="auto"/>
        <w:ind w:left="360" w:hanging="360"/>
      </w:pPr>
      <w:r>
        <w:rPr>
          <w:rFonts w:ascii="Times New Roman" w:hAnsi="Times New Roman" w:eastAsia="Times New Roman"/>
          <w:color w:val="000000"/>
          <w:sz w:val="17"/>
        </w:rPr>
        <w:t>[31] J. Jiang, Z. He, A. Wan, K. AL-Bukhaiti, and K. Wang, 'Zero-shot industrial anomaly detection via CLIP-DINOv2 multimodal fusion and stabilized attention pooling,' Electronics, vol. 14, no. 24, Art. no. 4785, 2025, doi: 10.3390/electronics14244785.</w:t>
      </w:r>
    </w:p>
    <w:p>
      <w:pPr>
        <w:spacing w:after="60" w:line="252" w:lineRule="auto"/>
        <w:ind w:left="360" w:hanging="360"/>
      </w:pPr>
      <w:r>
        <w:rPr>
          <w:rFonts w:ascii="Times New Roman" w:hAnsi="Times New Roman" w:eastAsia="Times New Roman"/>
          <w:color w:val="000000"/>
          <w:sz w:val="17"/>
        </w:rPr>
        <w:t>[32] C. Wang et al., 'Real-IAD: A real-world multi-view dataset for benchmarking versatile industrial anomaly detection,' in Proc. IEEE/CVF Conf. Comput. Vis. Pattern Recognit. (CVPR), 2024, pp. 22883-22892.</w:t>
      </w:r>
    </w:p>
    <w:p>
      <w:pPr>
        <w:spacing w:after="60" w:line="252" w:lineRule="auto"/>
        <w:ind w:left="360" w:hanging="360"/>
      </w:pPr>
      <w:r>
        <w:rPr>
          <w:rFonts w:ascii="Times New Roman" w:hAnsi="Times New Roman" w:eastAsia="Times New Roman"/>
          <w:color w:val="000000"/>
          <w:sz w:val="17"/>
        </w:rPr>
        <w:t>[33] J. Johnson, M. Douze, and H. Jegou, 'Billion-scale similarity search with GPUs,' IEEE Trans. Big Data, vol. 7, no. 3, pp. 535-547, 2021, doi: 10.1109/TBDATA.2019.2921572.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666666"/>
        <w:sz w:val="18"/>
      </w:rPr>
      <w:t>DCFnet | Working manuscript draft through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jc w:val="both"/>
    </w:pPr>
    <w:rPr>
      <w:rFonts w:ascii="Times New Roman" w:hAnsi="Times New Roman"/>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Working English manuscript draft through the Method section</dc:subject>
  <dc:creator/>
  <cp:keywords>industrial anomaly detection; few-shot; DINOv2; AnomalyCLIP; DCFnet</cp:keywords>
  <dc:description>Prepared from the frozen A1 method specification and verified literature sources.</dc:description>
  <cp:lastModifiedBy/>
  <cp:revision>1</cp:revision>
  <dcterms:created xsi:type="dcterms:W3CDTF">2013-12-23T23:15:00Z</dcterms:created>
  <dcterms:modified xsi:type="dcterms:W3CDTF">2013-12-23T23:15:00Z</dcterms:modified>
  <cp:category/>
</cp:coreProperties>
</file>