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宋体"/>
        </w:rPr>
        <w:t>2026年9月1日课程要求与论文讨论汇总</w:t>
      </w:r>
    </w:p>
    <w:p>
      <w:pPr>
        <w:spacing w:line="324" w:lineRule="auto" w:after="80"/>
        <w:jc w:val="center"/>
      </w:pPr>
      <w:r>
        <w:rPr>
          <w:rFonts w:ascii="Arial" w:hAnsi="Arial" w:eastAsia="宋体"/>
          <w:b/>
        </w:rPr>
        <w:t>课程日期  2026年9月1日</w:t>
        <w:br/>
      </w:r>
      <w:r>
        <w:rPr>
          <w:rFonts w:ascii="Arial" w:hAnsi="Arial" w:eastAsia="宋体"/>
        </w:rPr>
        <w:t>整理日期  2026年9月5日    项目  少样本工业异常检测论文</w:t>
      </w:r>
    </w:p>
    <w:p>
      <w:pPr>
        <w:spacing w:line="324" w:lineRule="auto" w:after="80"/>
      </w:pPr>
      <w:r>
        <w:rPr>
          <w:rFonts w:ascii="Arial" w:hAnsi="Arial" w:eastAsia="宋体"/>
        </w:rPr>
        <w:t>本记录集中整理9月1日课程中导师对论文定位、创新点、章节写法、文献与图表的要求，并汇总此前笔记及会后讨论形成的项目口径。记录的首要用途是防止写作时混淆“导师明确要求”“双方当场确认”和“会后核查结论”。后续写作、制图和投稿准备均应以本记录中的边界为检查清单。</w:t>
      </w:r>
    </w:p>
    <w:p>
      <w:pPr>
        <w:pStyle w:val="Heading1"/>
      </w:pPr>
      <w:r>
        <w:rPr>
          <w:rFonts w:ascii="Arial" w:hAnsi="Arial" w:eastAsia="宋体"/>
        </w:rPr>
        <w:t>一 记录范围与信息标记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55"/>
        <w:gridCol w:w="3255"/>
        <w:gridCol w:w="3255"/>
      </w:tblGrid>
      <w:tr>
        <w:tc>
          <w:tcPr>
            <w:tcW w:type="dxa" w:w="1656"/>
            <w:shd w:fill="1F4E78"/>
            <w:vAlign w:val="center"/>
          </w:tcPr>
          <w:p>
            <w:r>
              <w:rPr>
                <w:b/>
                <w:color w:val="FFFFFF"/>
                <w:sz w:val="19"/>
              </w:rPr>
              <w:t>标记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9"/>
              </w:rPr>
              <w:t>使用原则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导师明确要求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课程中直接提出的写作、研究或执行要求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论文和待办应优先满足</w:t>
            </w:r>
          </w:p>
        </w:tc>
      </w:tr>
      <w:tr>
        <w:tc>
          <w:tcPr>
            <w:tcW w:type="dxa" w:w="1656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双方确认</w:t>
            </w:r>
          </w:p>
        </w:tc>
        <w:tc>
          <w:tcPr>
            <w:tcW w:type="dxa" w:w="3240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导师提问后由学生说明并在会上确认的项目事实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必须与代码和实验记录一致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会后讨论与核查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根据仓库、实验结果和后续修改形成的结论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不得倒写成导师原话或课程要求</w:t>
            </w:r>
          </w:p>
        </w:tc>
      </w:tr>
    </w:tbl>
    <w:p>
      <w:pPr>
        <w:spacing w:line="324" w:lineRule="auto" w:after="80"/>
      </w:pPr>
    </w:p>
    <w:p>
      <w:pPr>
        <w:spacing w:line="324" w:lineRule="auto" w:after="80"/>
      </w:pPr>
      <w:r>
        <w:rPr>
          <w:rFonts w:ascii="Arial" w:hAnsi="Arial" w:eastAsia="宋体"/>
        </w:rPr>
        <w:t>时间口径：下文的分钟数对应9月1日课程自动纪要中的时间点；没有时间点的条目来自课程笔记或会后项目材料。</w:t>
      </w:r>
    </w:p>
    <w:p>
      <w:pPr>
        <w:pStyle w:val="Heading1"/>
      </w:pPr>
      <w:r>
        <w:rPr>
          <w:rFonts w:ascii="Arial" w:hAnsi="Arial" w:eastAsia="宋体"/>
        </w:rPr>
        <w:t>二 课程结论速览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论文研究对象确定为纯图像、正常样本少样本条件下的工业异常检测与像素级定位，不再以多模态或文本推理作为主线。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当前双视觉分支可以作为方法基础，但直接调用两个冻结模型再做固定融合，单独看算法创新不足。论文必须把异构特征的空间对齐、尺度校准、固定融合动机和严格对照说明清楚，同时继续评估能否形成更扎实的创新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导师要求先完成已经讲解过的部分：题目、摘要、Introduction、Related Work、问题定义、架构总览与主图。没有得到具体要求的后续章节不应提前凭空扩写。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论文写作必须围绕“行业痛点—现有方法不足—本文对应解决”的逻辑展开，用明确贡献和实验依据说服审稿人，避免泛泛而谈。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目标投稿层级由学生后续明确为中科院分区SCI四区，该分区要求不调整；仍需再确定具体期刊和模板。</w:t>
      </w:r>
    </w:p>
    <w:p>
      <w:pPr>
        <w:pStyle w:val="Heading1"/>
      </w:pPr>
      <w:r>
        <w:rPr>
          <w:rFonts w:ascii="Arial" w:hAnsi="Arial" w:eastAsia="宋体"/>
        </w:rPr>
        <w:t>三 9月1日课程中导师的全部要求</w:t>
      </w:r>
    </w:p>
    <w:p>
      <w:pPr>
        <w:pStyle w:val="Heading2"/>
      </w:pPr>
      <w:r>
        <w:rPr>
          <w:rFonts w:ascii="Arial" w:hAnsi="Arial" w:eastAsia="宋体"/>
        </w:rPr>
        <w:t>三点一 研究范围与任务用语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00:07:15至00:11:57 先明确领域。项目属于工业检测，目标是利用图像发现工业产品中的划痕、孔洞、污渍等异常。数据和推理输入都是图像，不应包装为多模态任务。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00:11:57至00:22:02 论文任务应表述为少样本工业异常检测，其中核心输出包含像素级异常位置。与只有图像级判断的 detection 相比，题目和正文使用 localization 更准确。项目未使用YOLO，不得采用目标检测框架的措辞。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英文术语采用 few-shot，而不是口语化的 few sample。需要区分 image-level anomaly detection 与 pixel-level anomaly localization。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当前题目沿用课程笔记确定的表达：DCFnet: Few-Shot Industrial Anomaly Localization via a Dual-Encoder Calibrated Fusion Network。后续只有在方法发生实质变化或目标期刊规范要求时才讨论改题。</w:t>
      </w:r>
    </w:p>
    <w:p>
      <w:pPr>
        <w:pStyle w:val="Heading2"/>
      </w:pPr>
      <w:r>
        <w:rPr>
          <w:rFonts w:ascii="Arial" w:hAnsi="Arial" w:eastAsia="宋体"/>
        </w:rPr>
        <w:t>三点二 论文价值与创新表达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00:07:15 导师强调高质量SCI论文需要清晰包装研究问题和价值。包装不能替代证据，其作用是把真实贡献放进完整逻辑中，并预先回答审稿人可能提出的问题。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00:22:02至00:33:07 两个分支均为冻结的预训练视觉Transformer，若只是直接调用现成架构，创新性不够。论文不能把“双分支”本身当作充分创新。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可重点研究并表达异构分支的校准融合。两个分支的输入分辨率、patch大小和特征网格不同，融合前的空间对齐、归一化和尺度协调可以成为设计动机。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导师暂建议使用“双分支校准融合网络”及DCF Net命名。名称是工作名称，最终仍应由实际实现和实验支撑，不能仅靠命名制造创新。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需要明确列出三项或四项贡献，让审稿人能迅速看到“提出什么、解决什么、如何验证”。每项贡献应与引言中的问题和实验中的证据一一对应。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复杂度与性能需要同时交代。冻结模型意味着没有目标域微调，但双分支并行仍会增加推理时间和显存或内存开销，不能笼统写成零开销。</w:t>
      </w:r>
    </w:p>
    <w:p>
      <w:pPr>
        <w:pStyle w:val="Heading2"/>
      </w:pPr>
      <w:r>
        <w:rPr>
          <w:rFonts w:ascii="Arial" w:hAnsi="Arial" w:eastAsia="宋体"/>
        </w:rPr>
        <w:t>三点三 摘要要求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00:33:07 摘要采用“研究背景—现实痛点—现有困难—本文方法—实验验证”的顺序。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背景说明少样本工业检测的重要性，现实原因是缺陷样本稀少且难以在部署前收集完整。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方法部分点明DCFnet、双视觉分支、异构特征校准与融合、正常参考记忆和异常定位，不写未实现的模块。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结果必须使用真实数据和明确指标。没有完成或核对的数据不能以占位符、模糊的“显著提高”或虚构SOTA结论代替。</w:t>
      </w:r>
    </w:p>
    <w:p>
      <w:pPr>
        <w:pStyle w:val="Heading2"/>
      </w:pPr>
      <w:r>
        <w:rPr>
          <w:rFonts w:ascii="Arial" w:hAnsi="Arial" w:eastAsia="宋体"/>
        </w:rPr>
        <w:t>三点四 Introduction要求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00:33:07至00:56:59 按“工业检测背景及现实需求—少样本条件的核心困境—现有技术不足—本文方案—贡献列表”递进，不写流水账式背景。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行业痛点可包括缺陷类型多样、尺寸跨度大、细小缺陷占比低、光照和外观变化，以及异常样本难以预先覆盖。每个痛点都要服务于后文问题，不为了显得全面而堆砌。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把现有不足归纳成三至四个可回答的问题，例如单一表征对不同缺陷线索的敏感性不一致、异构patch网格无法直接融合、不同特征尺度可能使距离度量偏向某一分支，以及平均分数可能掩盖类别负迁移和成本。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本文方法必须逐项回应前述不足。不能先罗列通用缺点，再突然介绍与之无关的网络。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引言使用三至五篇近三年的高质量代表文献。引用应分散放在其实际支持的论述后，不要突然把[1]至[4]或多个编号堆在一个句末。具体方法的集中综述放到Related Work。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引言结尾列出清晰贡献。贡献不能重复摘要，也不能把常规操作单独拔高；应包含方法设计、严格验证或适用边界等可核查内容。</w:t>
      </w:r>
    </w:p>
    <w:p>
      <w:pPr>
        <w:pStyle w:val="Heading2"/>
      </w:pPr>
      <w:r>
        <w:rPr>
          <w:rFonts w:ascii="Arial" w:hAnsi="Arial" w:eastAsia="宋体"/>
        </w:rPr>
        <w:t>三点五 Related Work要求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01:01:18 采用总分总结构。开头说明现有工作可按什么标准分为几类，并简述各类权衡。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中间分别介绍各类方法的原理、典型工作、训练方式、架构或数据依赖，并在每一类结尾给出作者自己的评价。不能只列论文名称。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可以结合时间顺序和方法优劣，但分类标准必须清楚。当前可按重建或单类学习、预训练特征与正常记忆、基础模型与混合方法组织。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结尾进行横向比较并承上启下，解释为什么本文选择纯视觉、冻结编码器、正常参考记忆和受控融合，而不是简单宣称前人方法都不行。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Related Work预计使用约二十二至二十五篇文献。总体参考文献约三十篇，近三年文献应占七成以上。</w:t>
      </w:r>
    </w:p>
    <w:p>
      <w:pPr>
        <w:pStyle w:val="Heading2"/>
      </w:pPr>
      <w:r>
        <w:rPr>
          <w:rFonts w:ascii="Arial" w:hAnsi="Arial" w:eastAsia="宋体"/>
        </w:rPr>
        <w:t>三点六 文献质量与格式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00:56:59 优先选择近三年的高质量期刊或主流会议论文，参考CCF目录或中科院分区判断来源质量。避免依赖质量不稳定的OA期刊、学位论文和非官方聚合网页。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所有引用必须真实存在，论文题名、作者、年份、卷期、页码和DOI需要到出版社、会议官网或正式数据库核验。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01:31:11 学会区分期刊论文与会议论文。期刊通常有期刊名、卷号、期号和页码或文章号；会议论文通常标明会议名称、届次或年份及论文集信息。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最终格式严格跟随目标期刊模板。未确定具体期刊之前，可以保持统一的临时格式，但不能把临时格式视为投稿格式。</w:t>
      </w:r>
    </w:p>
    <w:p>
      <w:pPr>
        <w:pStyle w:val="Heading2"/>
      </w:pPr>
      <w:r>
        <w:rPr>
          <w:rFonts w:ascii="Arial" w:hAnsi="Arial" w:eastAsia="宋体"/>
        </w:rPr>
        <w:t>三点七 方法章节与问题定义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01:16:06 方法章节先给出清楚的问题定义，再给总体结构和模块细节。所有符号首次出现时都要定义，集合、正整数、样本数、支持集、查询图、异常图和图像级分数不得混用。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问题定义必须符合实际任务。输出是正常或异常的图像级分数及像素级异常图，不是划痕、孔洞等闭集缺陷类别和置信度。老师课堂举出的类别输出只是形式化讲解示例，不能照抄为项目能力。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架构总览需说明输入、双分支特征提取、空间对齐、归一化与融合、正常记忆、最近邻评分、上采样和平滑，以及图像级与像素级输出。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每个模块不仅描述“怎么做”，还要解释“为什么需要”。公式、图和文字应使用同一套符号。</w:t>
      </w:r>
    </w:p>
    <w:p>
      <w:pPr>
        <w:pStyle w:val="Heading2"/>
      </w:pPr>
      <w:r>
        <w:rPr>
          <w:rFonts w:ascii="Arial" w:hAnsi="Arial" w:eastAsia="宋体"/>
        </w:rPr>
        <w:t>三点八 主图与图表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01:16:06 主图必须可编辑并由学生最终手工检查，建议使用PowerPoint或Visio。AI可用于产生参考稿，但不能把不可编辑的AI图片直接作为最终论文架构图。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主图需要清楚包含输入、双视觉编码器、异构网格对齐、分支归一化、固定融合、正常记忆、查询评分和输出。模块之间的箭头必须明确，不能让读者误解支持图像进入查询路径。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图应以方法内容为主，外框和底色为辅。避免大面积空白、粗重边框和过多彩色框；文字放到正文版面后仍应无需放大即可阅读。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正式插图应导出高分辨率或矢量版本，同时保留PPT原始文件，方便后续修改和按期刊栏宽调整。</w:t>
      </w:r>
    </w:p>
    <w:p>
      <w:pPr>
        <w:pStyle w:val="Heading2"/>
      </w:pPr>
      <w:r>
        <w:rPr>
          <w:rFonts w:ascii="Arial" w:hAnsi="Arial" w:eastAsia="宋体"/>
        </w:rPr>
        <w:t>三点九 课程布置的直接任务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改进或进一步审视算法创新，不能停留在简单调用两个现有编码器。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绘制网络架构主图，并保留PPT或Visio源文件。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撰写Introduction初稿，再按相同逻辑完成Related Work。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整理实验对比数据、结果与适用边界，为论文论证提供依据。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持续维护GitHub仓库，课程纪要建议每十至十五天留下可追踪的维护记录；提交前保证代码、文档与实验版本对应。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遇到方向、写作或实验问题及时沟通，不要等整篇论文完成后才集中纠正。</w:t>
      </w:r>
    </w:p>
    <w:p>
      <w:pPr>
        <w:pStyle w:val="Heading1"/>
      </w:pPr>
      <w:r>
        <w:rPr>
          <w:rFonts w:ascii="Arial" w:hAnsi="Arial" w:eastAsia="宋体"/>
        </w:rPr>
        <w:t>四 双方在课程中确认的项目事实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项目当前处理纯图像，不支持多模态输入；历史上文本与图像动态融合效果差且不稳定，相关路线已经被否决。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当前主线由两个视觉分支共同分析同一图像。DINOv2与AnomalyCLIP来源的CLIP图像塔提取局部特征，两个分支均冻结，不做目标域微调。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两个分支的输入尺度和patch网格不同，融合前需要对齐。固定比例融合在已有完整测试中比动态融合稳定，课程时以一比一或0.5比0.5作为当前方案。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任务同时包含图像级异常判断和像素级异常定位，论文以pixel-level localization作为重点。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源码已经上传GitHub并持续维护。数据集主要由工业图像构成，不是文本数据集。</w:t>
      </w:r>
    </w:p>
    <w:p>
      <w:pPr>
        <w:pStyle w:val="Heading1"/>
      </w:pPr>
      <w:r>
        <w:rPr>
          <w:rFonts w:ascii="Arial" w:hAnsi="Arial" w:eastAsia="宋体"/>
        </w:rPr>
        <w:t>五 会后讨论与项目核查形成的统一口径</w:t>
      </w:r>
    </w:p>
    <w:p>
      <w:pPr>
        <w:spacing w:line="324" w:lineRule="auto" w:after="80"/>
      </w:pPr>
      <w:r>
        <w:rPr>
          <w:rFonts w:ascii="Arial" w:hAnsi="Arial" w:eastAsia="宋体"/>
        </w:rPr>
        <w:t>以下内容用于更新课程笔记，但不应写成导师在9月1日已经明确提出的原话。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最终方法口径为双冻结视觉编码器的固定特征融合。CLIP分支只使用图像塔；推理时没有文本prompt、文本embedding或语言相似度，因此不能称为视觉语言推理或多模态融合。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当前实现将CLIP patch网格双线性对齐到DINO网格。两个768维分支分别做L2归一化，以0.5和0.5固定缩放后拼接为1536维，并再次整体归一化。历史材料中的1152维属于已纠正错误。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每类仅使用K等于1、2或4张正常参考图建立FAISS一近邻记忆。测试patch采用平方欧氏距离除以2评分，再上采样至448乘448并以sigma等于4进行高斯平滑。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论文最稳妥的定位是受控实证研究，而不是宣称复杂新网络或全面SOTA。核心证据来自matched DINO-only对照、四数据集冻结验证、参考采样稳定性、完整指标、类别负迁移、计算成本和可复现材料。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VisA与AnomalyCLIP checkpoint存在训练域关系，应称为域内冻结验证，不作为完全独立的外部泛化证据。MPDD用于开发，BTAD和MVTec AD用于外部冻结验证。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结果不能表述为所有指标或所有类别都提高。论文需主动呈现BTAD图像级部分指标下降、若干类别稳定负迁移，以及双编码器带来的延迟和记忆开销。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目标投稿范围固定为中科院SCI四区，但尚需确定具体期刊。确定期刊后再锁定模板、字数、图表栏宽、参考文献格式和声明章节。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英文初稿只写到导师已经讲解的Detailed DCFnet部分。Introduction的最新修改已将五篇代表性引用分散到相应论述后，并把密集方法介绍移回Related Work。</w:t>
      </w:r>
    </w:p>
    <w:p>
      <w:pPr>
        <w:pStyle w:val="Heading1"/>
      </w:pPr>
      <w:r>
        <w:rPr>
          <w:rFonts w:ascii="Arial" w:hAnsi="Arial" w:eastAsia="宋体"/>
        </w:rPr>
        <w:t>六 创新点问题的完整记录</w:t>
      </w:r>
    </w:p>
    <w:p>
      <w:pPr>
        <w:pStyle w:val="Heading2"/>
      </w:pPr>
      <w:r>
        <w:rPr>
          <w:rFonts w:ascii="Arial" w:hAnsi="Arial" w:eastAsia="宋体"/>
        </w:rPr>
        <w:t>六点一 导师指出的问题</w:t>
      </w:r>
    </w:p>
    <w:p>
      <w:pPr>
        <w:spacing w:line="324" w:lineRule="auto" w:after="80"/>
      </w:pPr>
      <w:r>
        <w:rPr>
          <w:rFonts w:ascii="Arial" w:hAnsi="Arial" w:eastAsia="宋体"/>
        </w:rPr>
        <w:t>两个冻结ViT分支都是已有模型，固定比例融合、拼接和最近邻本身也属于常见操作。若论文只写成“两个模型一起使用，所以形成DCFnet”，审稿人很可能认为创新不足。导师因此要求把真正解决的技术矛盾说清楚，并继续改进算法。</w:t>
      </w:r>
    </w:p>
    <w:p>
      <w:pPr>
        <w:pStyle w:val="Heading2"/>
      </w:pPr>
      <w:r>
        <w:rPr>
          <w:rFonts w:ascii="Arial" w:hAnsi="Arial" w:eastAsia="宋体"/>
        </w:rPr>
        <w:t>六点二 当前可成立但需要克制的创新表达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异构patch表征的确定性校准流程：以统一空间网格对齐不同分辨率的局部特征，并在拼接前做分支级幅值归一化。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严格控制变量的双编码器互补性研究：在正常参考、DINO特征、最近邻评分、后处理和评价器保持一致时，只改变第二视觉表征是否加入。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正常样本少样本、零目标域训练的完整验证：在不同shot和参考种子下报告稳定性，同时展示负迁移和成本。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可审计边界：不把动态融合的失败、测试标签参与选择的历史实验或后验解释包装成主方法成功。</w:t>
      </w:r>
    </w:p>
    <w:p>
      <w:pPr>
        <w:pStyle w:val="Heading2"/>
      </w:pPr>
      <w:r>
        <w:rPr>
          <w:rFonts w:ascii="Arial" w:hAnsi="Arial" w:eastAsia="宋体"/>
        </w:rPr>
        <w:t>六点三 不能使用的创新主张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不能宣称首次结合CLIP与DINO，也不能把普通拼接写成全新的数学机制。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不能称为动态、自适应或可学习融合，因为当前权重固定且没有训练融合器。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不能称为多模态或视觉语言推理，因为最终路径不使用文本。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不能把结果说成四个数据集全面SOTA、所有指标提高或每个类别都受益。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不能把“冻结参数”写成低时间复杂度或零计算成本；两套编码器仍需实际推理。</w:t>
      </w:r>
    </w:p>
    <w:p>
      <w:pPr>
        <w:pStyle w:val="Heading2"/>
      </w:pPr>
      <w:r>
        <w:rPr>
          <w:rFonts w:ascii="Arial" w:hAnsi="Arial" w:eastAsia="宋体"/>
        </w:rPr>
        <w:t>六点四 后续创新选择原则</w:t>
      </w:r>
    </w:p>
    <w:p>
      <w:pPr>
        <w:spacing w:line="324" w:lineRule="auto" w:after="80"/>
      </w:pPr>
      <w:r>
        <w:rPr>
          <w:rFonts w:ascii="Arial" w:hAnsi="Arial" w:eastAsia="宋体"/>
        </w:rPr>
        <w:t>如果继续做算法创新，应先在MPDD开发集上预注册假设、对照、门槛和停止规则。只有通过开发门槛的候选才能冻结后进入BTAD或MVTec验证。若新方案不能稳定超过0.5比0.5固定融合，应保留负结果并回到当前主线，不使用验证集反复挑参数。</w:t>
      </w:r>
    </w:p>
    <w:p>
      <w:pPr>
        <w:pStyle w:val="Heading1"/>
      </w:pPr>
      <w:r>
        <w:rPr>
          <w:rFonts w:ascii="Arial" w:hAnsi="Arial" w:eastAsia="宋体"/>
        </w:rPr>
        <w:t>七 论文写作执行清单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1"/>
        <w:gridCol w:w="2441"/>
        <w:gridCol w:w="2441"/>
        <w:gridCol w:w="2441"/>
      </w:tblGrid>
      <w:tr>
        <w:tc>
          <w:tcPr>
            <w:tcW w:type="dxa" w:w="936"/>
            <w:shd w:fill="1F4E78"/>
            <w:vAlign w:val="center"/>
          </w:tcPr>
          <w:p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9"/>
              </w:rPr>
              <w:t>完成标准</w:t>
            </w:r>
          </w:p>
        </w:tc>
        <w:tc>
          <w:tcPr>
            <w:tcW w:type="dxa" w:w="1512"/>
            <w:shd w:fill="1F4E78"/>
            <w:vAlign w:val="center"/>
          </w:tcPr>
          <w:p>
            <w:r>
              <w:rPr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确定具体中科院SCI四区期刊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下载最新Guide for Authors和模板，确认字数、栏目、图表与参考文献格式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待决定</w:t>
            </w:r>
          </w:p>
        </w:tc>
      </w:tr>
      <w:tr>
        <w:tc>
          <w:tcPr>
            <w:tcW w:type="dxa" w:w="936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A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锁定论文主张与贡献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每项贡献对应问题、方法和证据；删除无法证明的创新描述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需导师确认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完成Introduction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背景递进清楚，3至5篇近年代表文献分散引用，结尾贡献明确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已有修改稿</w:t>
            </w:r>
          </w:p>
        </w:tc>
      </w:tr>
      <w:tr>
        <w:tc>
          <w:tcPr>
            <w:tcW w:type="dxa" w:w="936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A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完成Related Work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总分总分类，每类含代表工作和评论，约22至25篇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已有初稿，需继续核引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完成问题定义与Method总览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任务输出、数据角色、符号和实现一致；不写缺陷闭集分类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已有初稿</w:t>
            </w:r>
          </w:p>
        </w:tc>
      </w:tr>
      <w:tr>
        <w:tc>
          <w:tcPr>
            <w:tcW w:type="dxa" w:w="936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A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定稿主图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内容优先、文字可读、路径准确、源文件可编辑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已有紧凑PPT版，需人工定稿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核验参考文献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约30篇，近三年不少于七成；逐条核验官方元数据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进行中</w:t>
            </w:r>
          </w:p>
        </w:tc>
      </w:tr>
      <w:tr>
        <w:tc>
          <w:tcPr>
            <w:tcW w:type="dxa" w:w="936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B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整理实验与边界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完整指标、matched control、负迁移、效率与协议公平性同时呈现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40" w:before="40"/>
            </w:pPr>
            <w:r>
              <w:rPr>
                <w:sz w:val="18"/>
              </w:rPr>
              <w:t>证据已较完整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维护代码与版本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代码、配置、结果与论文数字可追溯；保持维护记录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持续执行</w:t>
            </w:r>
          </w:p>
        </w:tc>
      </w:tr>
    </w:tbl>
    <w:p>
      <w:pPr>
        <w:spacing w:line="324" w:lineRule="auto" w:after="80"/>
      </w:pPr>
    </w:p>
    <w:p>
      <w:pPr>
        <w:pStyle w:val="Heading1"/>
      </w:pPr>
      <w:r>
        <w:rPr>
          <w:rFonts w:ascii="Arial" w:hAnsi="Arial" w:eastAsia="宋体"/>
        </w:rPr>
        <w:t>八 提交导师前的逐项自查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题目、摘要、Introduction、Related Work、方法和主图是否都使用pure visual、few-shot、localization等统一术语。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每一条引用是否紧跟其支持的论述，是否存在成组堆叠、张冠李戴或用二手网页代替正式论文。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每个创新点是否能在方法公式、消融实验或严格对照中找到证据。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所有数值是否能追溯到统一评价器和固定实验文件，是否避免把共享测试集的seed或shot当成独立数据集。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主图缩放到论文实际栏宽后能否直接读清，是否去掉与算法无关的大外框、空白和装饰。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是否主动说明失败类别、负向指标、VisA数据角色和计算成本。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是否只写了导师已讲解或已有可靠材料支撑的章节，没有用占位符和想象补齐未知内容。</w:t>
      </w:r>
    </w:p>
    <w:p>
      <w:pPr>
        <w:pStyle w:val="Heading1"/>
      </w:pPr>
      <w:r>
        <w:rPr>
          <w:rFonts w:ascii="Arial" w:hAnsi="Arial" w:eastAsia="宋体"/>
        </w:rPr>
        <w:t>九 本记录所依据的材料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2026年9月1日课程自动纪要及用户提供的分段时间记录。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few_shot_industrial_ad_project_overview_expanded_20260812_v2.docx中的课程手写笔记与旧版项目总览。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10_PROJECT_STATUS_FOR_SUPERVISOR_CN_20260901.md中的项目事实、实验协议和论文边界。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01_PAPER_POSITIONING_AND_CLAIMS.md、02_MANUSCRIPT_BLUEPRINT_EN.md、03_INTRODUCTION_WORKING_DRAFT_EN.md、04_RELATED_WORK_AND_NOVELTY_MAP.md、06_TABLE_FIGURE_PLAN.md和07_MISSING_MATERIALS_AND_CHECKLIST.md。</w:t>
      </w:r>
    </w:p>
    <w:p>
      <w:pPr>
        <w:pStyle w:val="ListBullet"/>
        <w:spacing w:line="324" w:lineRule="auto" w:after="80"/>
      </w:pPr>
      <w:r>
        <w:rPr>
          <w:rFonts w:ascii="Arial" w:hAnsi="Arial" w:eastAsia="宋体"/>
        </w:rPr>
        <w:t>后续英文稿引用调整、主图可读性修改及项目代码与实验材料核查结果。</w:t>
      </w:r>
    </w:p>
    <w:p>
      <w:pPr>
        <w:spacing w:line="324" w:lineRule="auto" w:after="80"/>
      </w:pPr>
      <w:r>
        <w:rPr>
          <w:rFonts w:ascii="Arial" w:hAnsi="Arial" w:eastAsia="宋体"/>
        </w:rPr>
        <w:t>版本说明：本记录作为课程要求与论文讨论的统一索引。若导师后续改变方法、题目或投稿要求，应新增带日期的补充记录，不应直接覆盖本版本。</w:t>
      </w:r>
    </w:p>
    <w:sectPr w:rsidR="00FC693F" w:rsidRPr="0006063C" w:rsidSect="00034616">
      <w:footerReference w:type="default" r:id="rId9"/>
      <w:pgSz w:w="12240" w:h="15840"/>
      <w:pgMar w:top="1123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