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20260905 SCI论文辅导详细整理与修改清单</w:t>
      </w:r>
    </w:p>
    <w:p>
      <w:r>
        <w:t>本次课的主线是把 DCFnet 从已有英文初稿推进到结构清楚、图文一致、实验可核查的论文：先梳理真实贡献，重写引言和相关工作的组织方式，重绘主图并补充模块细节图，再完善模型配置、实验分析和结论。老师同时要求继续探索融合或架构创新；当前固定融合的效果较好，并不自动解决创新性是否足够的问题。</w:t>
      </w:r>
    </w:p>
    <w:p>
      <w:r>
        <w:t>这份整理将课堂要求转成可执行的修改项，保留录制时间索引、Word 修改位置和检查标准。“老师要求”指逐字稿或课堂文档中可定位的要求；“整理建议”是针对当前稿件给出的实施办法，不表示老师逐字说过，也不表示已经完成了对应实验。</w:t>
      </w:r>
    </w:p>
    <w:p>
      <w:pPr>
        <w:pStyle w:val="Heading1"/>
      </w:pPr>
      <w:r>
        <w:t>一 资料和使用方式</w:t>
      </w:r>
    </w:p>
    <w:p>
      <w:pPr>
        <w:pStyle w:val="ListBullet"/>
      </w:pPr>
      <w:r>
        <w:t>课堂录制：20260905李越宁SCI论文辅导，腾讯会议页面显示 2026年9月5日 08:14。</w:t>
      </w:r>
      <w:hyperlink r:id="rId9">
        <w:r>
          <w:rPr>
            <w:color w:val="1F4E79"/>
          </w:rPr>
          <w:t>打开录制</w:t>
        </w:r>
      </w:hyperlink>
      <w:r>
        <w:t>。</w:t>
      </w:r>
    </w:p>
    <w:p>
      <w:pPr>
        <w:pStyle w:val="ListBullet"/>
      </w:pPr>
      <w:r>
        <w:t>课堂记录：已按顺序阅读页面逐字稿，从 01:49 的开场到 01:31:04 的结束，页面显示“转写已结束”。自动纪要仅用于交叉检查，具体要求优先以逐字稿和 Word 内容为依据。</w:t>
      </w:r>
    </w:p>
    <w:p>
      <w:pPr>
        <w:pStyle w:val="ListBullet"/>
      </w:pPr>
      <w:r>
        <w:t>课堂文档：DCFnet_English_Draft_Through_Method_Revised_20260903(1).docx。以下页码对应这份文件的 11 页 Word 导出结果；更换字体、版面后页码可能变化，因此同时提供章节和原文关键词。</w:t>
      </w:r>
    </w:p>
    <w:p>
      <w:pPr>
        <w:pStyle w:val="ListBullet"/>
      </w:pPr>
      <w:r>
        <w:t>比较基准：项目内 DCFnet_English_Draft_Through_Method_Revised_20260903.docx。这是可用的同名早期版本，并非已证明与上课前一刻完全相同的快照；版本差异不能单凭文件比较认定每一处的修改作者。</w:t>
      </w:r>
    </w:p>
    <w:p>
      <w:pPr>
        <w:pStyle w:val="ListBullet"/>
      </w:pPr>
      <w:r>
        <w:t>文件结构检查：课堂文件没有保留 Word 批注或跟踪修订记录。修改主要体现为直接改文、红绿字体提示、占位符、新增章节及参考图。因此“无修订记录”不等于“老师没有修改”。</w:t>
      </w:r>
    </w:p>
    <w:p>
      <w:r>
        <w:t>建议先看第十二部分的执行顺序，再按第二至第十部分逐项修改；遇到理解不确定处，可用第十三部分的时间索引回看课堂。</w:t>
      </w:r>
    </w:p>
    <w:p>
      <w:pPr>
        <w:pStyle w:val="Heading1"/>
      </w:pPr>
      <w:r>
        <w:t>二 主图和模块图</w:t>
      </w:r>
    </w:p>
    <w:p>
      <w:pPr>
        <w:pStyle w:val="Heading2"/>
      </w:pPr>
      <w:r>
        <w:t>1 主图首先要在最终论文尺寸下可读</w:t>
      </w:r>
    </w:p>
    <w:p>
      <w:r>
        <w:t>老师要求：正常阅读正文时，应同时看清图中的主要文字。老师在 04:26 开始指出，正文和 Figure 1 描述已经清楚，Encoder、DPAM、Patch、搜索步骤等图中文字仍需继续放大才能辨认。图内主要文字应大致达到图注或正文描述的可读程度，而不是只在 PPT 全屏或高倍放大后可读。</w:t>
      </w:r>
    </w:p>
    <w:p>
      <w:r>
        <w:t>具体修改：把主图放回论文实际栏宽，统一检查模块标题、特征维度、输入输出、连线旁标签。调整文字时同时调整框大小、留白和连接线；不要仅在原有小框内增大字号。01:08:42—01:09:02 明确讨论了“放大了字但框和箭头没动，反而显得更乱”的问题。</w:t>
      </w:r>
    </w:p>
    <w:p>
      <w:r>
        <w:t>检查标准：不额外放大页面也能读出主要流程；文字不挤框、不遮箭头、不需要依靠读者猜测缩写。</w:t>
      </w:r>
    </w:p>
    <w:p>
      <w:pPr>
        <w:pStyle w:val="Heading2"/>
      </w:pPr>
      <w:r>
        <w:t>2 主流程清楚 辅助连线有层次</w:t>
      </w:r>
    </w:p>
    <w:p>
      <w:r>
        <w:t>老师要求：模块边界和箭头方向必须明显，能看出输入经过哪些处理、如何进入记忆库或匹配步骤、最后输出什么。参考图的主流程采用明显的黑色箭头，辅助连线相对弱化；线条也不能粗到压过文字与模块。</w:t>
      </w:r>
    </w:p>
    <w:p>
      <w:r>
        <w:t>具体修改：统一主流程线宽、箭头大小和方向；将辅助连接、共享模块或对照支路与主路径区分；减少无意义交叉与长距离绕线。输入、支撑集、查询图和最终异常结果的角色必须明确。</w:t>
      </w:r>
    </w:p>
    <w:p>
      <w:r>
        <w:t>检查标准：读者能顺着箭头从输入走到输出；每条线的起点终点明确；主支路与辅助支路不会被误认。</w:t>
      </w:r>
    </w:p>
    <w:p>
      <w:pPr>
        <w:pStyle w:val="Heading2"/>
      </w:pPr>
      <w:r>
        <w:t>3 采用紧凑矩形布局 可分上下两层</w:t>
      </w:r>
    </w:p>
    <w:p>
      <w:r>
        <w:t>老师要求：横向主图可在双栏论文中跨两栏放置，充分利用横向空间。当前图的空间配比不合理，部分位置空、部分位置挤。01:14:30—01:15:54 提出上下堆叠、顺序排列或蛇形排列均可，整体尽量占据一个紧凑的矩形。</w:t>
      </w:r>
    </w:p>
    <w:p>
      <w:r>
        <w:t>老师没有指定唯一的蛇形方案。重点是有头有尾、两层之间连接清楚，并合理保留输入与输出图像。课堂参考图下半部分的翻转效果是布局演示，不是要求正式稿把文字倒置。</w:t>
      </w:r>
    </w:p>
    <w:p>
      <w:r>
        <w:t>具体修改：先确定总流程和两层分工，再安排框、图像和线。主图中的正常支撑路径与查询路径仍须保持正确的数据角色，不能为了美观将查询图接入正常记忆库。后一项是根据现稿方法约束给出的整理建议。</w:t>
      </w:r>
    </w:p>
    <w:p>
      <w:pPr>
        <w:pStyle w:val="Heading2"/>
      </w:pPr>
      <w:r>
        <w:t>4 配色参考成熟论文 结构按自己的方法画</w:t>
      </w:r>
    </w:p>
    <w:p>
      <w:r>
        <w:t>老师在 01:09:46—01:13:51 展示了参考架构图，并提到 Transformer、Transformer in Transformer 的配色印象；示范了在 PPT 中用吸管取色。文档第7页插入了这张参考图。</w:t>
      </w:r>
    </w:p>
    <w:p>
      <w:r>
        <w:t>具体修改：借鉴浅色模块填充、深色文字、明显边框和箭头之间的关系；不同功能模块的颜色应有稳定含义。参考图中的 KAN、Dynamic 等模块不因此成为 DCFnet 的组成部分。</w:t>
      </w:r>
    </w:p>
    <w:p>
      <w:r>
        <w:t>检查标准：配色统一，文字与背景反差充足；相同模块使用相同视觉表示；所有模块内容均能对应自己的实现。</w:t>
      </w:r>
    </w:p>
    <w:p>
      <w:pPr>
        <w:pStyle w:val="Heading2"/>
      </w:pPr>
      <w:r>
        <w:t>5 图中文字和数学变量必须与正文一致</w:t>
      </w:r>
    </w:p>
    <w:p>
      <w:r>
        <w:t>老师在 11:10—13:06、01:07:48—01:08:14、01:12:38—01:13:19 多次指出 h_D、w_D、K、L2 等写法不统一。输入图像的编号也应与 Problem Statement 的定义对应。</w:t>
      </w:r>
    </w:p>
    <w:p>
      <w:r>
        <w:t>具体修改：建立一个统一的符号表，图、公式和正文共用。若正文用 x_i 表示参考图像，图内就不要无说明地切换成 I_i。标量、向量、矩阵和集合的字体规则见第七部分；维度中的数值与变量需要分别正确排版。</w:t>
      </w:r>
    </w:p>
    <w:p>
      <w:pPr>
        <w:pStyle w:val="Heading2"/>
      </w:pPr>
      <w:r>
        <w:t>6 图的位置紧邻首次引用</w:t>
      </w:r>
    </w:p>
    <w:p>
      <w:r>
        <w:t>老师在 08:47—11:10 说明：读到 Figure 1 时，应能在邻近位置快速找到图，理想情况是先出现正文引用，再出现图；尽量避免引用在页底而图远在页顶、读者需要反复翻找。</w:t>
      </w:r>
    </w:p>
    <w:p>
      <w:r>
        <w:t>老师倾向横跨双栏、页顶安排主图。执行时应结合最终投稿模板，围绕 Overview 的叙述安排图文；不是把方法图机械插进论文第一页，也不是为凑版面增加无意义文字。</w:t>
      </w:r>
    </w:p>
    <w:p>
      <w:pPr>
        <w:pStyle w:val="Heading2"/>
      </w:pPr>
      <w:r>
        <w:t>7 补充模块子图 不把全部细节塞入主图</w:t>
      </w:r>
    </w:p>
    <w:p>
      <w:r>
        <w:t>老师在 01:06:51—01:07:48 明确认可：主图保留总体结构，在后文具体讲解模块时加入更细的流程图或子图；在 01:28:50—01:29:06 再次将辅助图列为任务。</w:t>
      </w:r>
    </w:p>
    <w:p>
      <w:r>
        <w:t>整理建议：优先考虑“网格对齐与特征融合”“正常记忆构建与查询评分”两类细节图。先确定真正需要解释的模块，再决定图数；老师没有硬性规定必须新增两张图。</w:t>
      </w:r>
    </w:p>
    <w:p>
      <w:pPr>
        <w:pStyle w:val="Heading2"/>
      </w:pPr>
      <w:r>
        <w:t>8 理解图文摘要的重要性 但不混同为投稿硬规则</w:t>
      </w:r>
    </w:p>
    <w:p>
      <w:r>
        <w:t>老师用期刊官网宣传解释 Graphical Abstract 的作用，并以“图约占20%”“实验约占六七成”等经验说法强调图和实验的重要性。这些是课堂经验性评价，不是本次已经核实的期刊评分公式。主图和独立图文摘要是否都要提交，应在目标期刊确定后核对。</w:t>
      </w:r>
    </w:p>
    <w:p>
      <w:pPr>
        <w:pStyle w:val="Heading1"/>
      </w:pPr>
      <w:r>
        <w:t>三 标题 摘要和关键词</w:t>
      </w:r>
    </w:p>
    <w:p>
      <w:pPr>
        <w:pStyle w:val="Heading2"/>
      </w:pPr>
      <w:r>
        <w:t>1 全称 缩写和任务名称对应</w:t>
      </w:r>
    </w:p>
    <w:p>
      <w:r>
        <w:t>13:06 起，老师要求 DCFnet 的字母与展开名称对得上，特别是 Network 不能在表述中丢失。课堂文档将摘要中的 fusion architecture 调整为 fusion network，并在任务表述后增加 tasks；引言中的展开名称改为小写描述形式。</w:t>
      </w:r>
    </w:p>
    <w:p>
      <w:r>
        <w:t>具体修改：确定正式标题、方法名和首次展开式，统一 DCFnet 的大小写。标题以 industrial anomaly localization 为中心时，关键词也应与定位任务一致；不要将全文所有 detection 无区别替换掉，因为现稿还报告图像级检测任务。</w:t>
      </w:r>
    </w:p>
    <w:p>
      <w:pPr>
        <w:pStyle w:val="Heading2"/>
      </w:pPr>
      <w:r>
        <w:t>2 摘要需要压缩 缩写应帮助理解</w:t>
      </w:r>
    </w:p>
    <w:p>
      <w:r>
        <w:t>14:11—18:16 的重点是：不应假设读者认识所有方法和数据集缩写。非公知缩写第一次出现应先写全称，再给缩写；数量不多时直接在正文解释即可，不必专门加脚注。</w:t>
      </w:r>
    </w:p>
    <w:p>
      <w:r>
        <w:t>老师认为摘要已有些长，如果再逐个展开模型型号、模块和数据集名称会更冗长。背景的基本逻辑没有被否定，后续可精修语言；主要需要缩短过细的实现介绍，让方法和结果更容易理解。</w:t>
      </w:r>
    </w:p>
    <w:p>
      <w:r>
        <w:t>具体修改：保留研究场景、明确问题、核心方法和主要验证结论。将对理解摘要并非必要的层号、型号后缀和实现配置留到方法部分。出现数据集时明确它们是评价数据集；必要时用“公开工业异常检测基准”概括，再在实验中详细交代。摘要具体字数和是否允许引用尚未在本次课中确定。</w:t>
      </w:r>
    </w:p>
    <w:p>
      <w:pPr>
        <w:pStyle w:val="Heading2"/>
      </w:pPr>
      <w:r>
        <w:t>3 描述模块功能 明确技术来源与自己的设计</w:t>
      </w:r>
    </w:p>
    <w:p>
      <w:r>
        <w:t>21:44—23:47 中，老师反复提醒不要把方法讲成“现成 A、B、C 拼在一起，所以效果更好”。要说明各层或模块完成的任务、设计动机、采用什么机制，以及它如何解决问题。</w:t>
      </w:r>
    </w:p>
    <w:p>
      <w:r>
        <w:t>整理建议：用“问题—模块功能—实现—验证”的顺序写。DINOv2、CLIP、AnomalyCLIP/DPAM 等来源仍需准确交代；已有组件不能通过改名字或淡化引用变成原创。当前固定对齐、归一化和拼接是否构成足够的技术新意，仍需要研究证据，不能仅靠写作解决。</w:t>
      </w:r>
    </w:p>
    <w:p>
      <w:pPr>
        <w:pStyle w:val="Heading2"/>
      </w:pPr>
      <w:r>
        <w:t>4 关键词减少重复 突出实际主题</w:t>
      </w:r>
    </w:p>
    <w:p>
      <w:r>
        <w:t>老师在 16:32—20:57 建议关键词约五个，避免过多以及重复表达异常检测。课堂文件已经从六项改为五项：industrial anomaly localization；few-shot learning；visual foundation；calibrated fusion；normal memory bank。</w:t>
      </w:r>
    </w:p>
    <w:p>
      <w:r>
        <w:t>其中 localization 与标题保持一致；calibrated fusion 与方法名称对应；normal memory bank 在讨论后暂时保留。老师询问其是否为创新点，用户解释它是方法使用的前提和工具，因此不能因为进入关键词就将其写成独创贡献。</w:t>
      </w:r>
    </w:p>
    <w:p>
      <w:r>
        <w:t>整理建议：对 visual foundation 是否足够准确、是否应采用更完整术语，在定稿时结合全文语义复核。当前关键词是课堂修改结果，不代表语言已全部定稿。</w:t>
      </w:r>
    </w:p>
    <w:p>
      <w:pPr>
        <w:pStyle w:val="Heading2"/>
      </w:pPr>
      <w:r>
        <w:t>5 在摘要末尾给代码地址并持续维护</w:t>
      </w:r>
    </w:p>
    <w:p>
      <w:r>
        <w:t>老师在约 54:17 的讨论中返回摘要，加入代码可用性语句；01:29:06 又提醒维护 GitHub。第1页现有“The code is available at :https.github.com………”是占位文本。</w:t>
      </w:r>
    </w:p>
    <w:p>
      <w:r>
        <w:t>具体修改：替换为真实、可访问且对应论文版本的仓库地址，整理必要的使用说明。仅在实际可用时声明代码可获得。</w:t>
      </w:r>
    </w:p>
    <w:p>
      <w:pPr>
        <w:pStyle w:val="Heading1"/>
      </w:pPr>
      <w:r>
        <w:t>四 引言应该怎样重写</w:t>
      </w:r>
    </w:p>
    <w:p>
      <w:pPr>
        <w:pStyle w:val="Heading2"/>
      </w:pPr>
      <w:r>
        <w:t>1 引言以问题和本文工作为主线</w:t>
      </w:r>
    </w:p>
    <w:p>
      <w:r>
        <w:t>老师在 36:58—38:53 建议把具体方法的大段介绍移到 Related Work。引言应交代工业场景、正常样本稀缺、当前技术难点，再引出本文要解决的问题及方法概览。</w:t>
      </w:r>
    </w:p>
    <w:p>
      <w:r>
        <w:t>对应文档：第2页 Sea-CLIP 等近期方法的整段介绍被标红；第2页末至第3页的技术难点处增加了 [xx] 提示，需要为相关论断补合适来源。</w:t>
      </w:r>
    </w:p>
    <w:p>
      <w:r>
        <w:t>整理建议的段落顺序：工业检查的实际需求；少样本条件下的困难；现有路线尚未解决的问题；DCFnet 的核心思路；条列贡献。不要把相关工作的详尽分类和完整实验结果提前搬进引言。</w:t>
      </w:r>
    </w:p>
    <w:p>
      <w:pPr>
        <w:pStyle w:val="Heading2"/>
      </w:pPr>
      <w:r>
        <w:t>2 数据集详情放入实验设计</w:t>
      </w:r>
    </w:p>
    <w:p>
      <w:r>
        <w:t>27:37—30:25 中，老师指出直接堆出 MVTec AD、VisA、MPDD、BTAD，读者可能无法判断这些是数据集还是模型。数据规模、类别、测试样本、图像质量等信息能支撑实验论证，应在实验设计中介绍并引用。</w:t>
      </w:r>
    </w:p>
    <w:p>
      <w:r>
        <w:t>对应文档：第2页开头的数据集句子被标红，其原来的 [1]—[4] 集中引用已调整，但句子尚未正式删改完成。</w:t>
      </w:r>
    </w:p>
    <w:p>
      <w:r>
        <w:t>具体修改：引言保留必要的评价背景即可，把详细信息和对应来源移到 4.1。移动位置不会改变原始数据集论文的发表年份，也不意味着可以省略其引用。</w:t>
      </w:r>
    </w:p>
    <w:p>
      <w:pPr>
        <w:pStyle w:val="Heading2"/>
      </w:pPr>
      <w:r>
        <w:t>3 引用跟随其支持的论断 分散到准确位置</w:t>
      </w:r>
    </w:p>
    <w:p>
      <w:r>
        <w:t>23:47—27:37、34:22—36:58 中，老师反对将多篇文献笼统集中在段末，要求引文与具体技术或陈述对应。背景概括可使用相关的新研究，具体方法则应定位到直接来源。</w:t>
      </w:r>
    </w:p>
    <w:p>
      <w:r>
        <w:t>课堂所谓“模糊引用”在执行中应理解为支持背景性概括的引用，不应理解为“相关就随便挂”。真正同时支持同一论断的多篇文献可以按期刊规则组合引用；本次要求的核心是避免错配和无对应关系的堆叠。</w:t>
      </w:r>
    </w:p>
    <w:p>
      <w:pPr>
        <w:pStyle w:val="Heading2"/>
      </w:pPr>
      <w:r>
        <w:t>4 将详尽实验数字移到实验章节</w:t>
      </w:r>
    </w:p>
    <w:p>
      <w:r>
        <w:t>45:16—45:59 中，老师要求不要在引言方法概述之后立即长篇介绍 evaluation，再在实验设计中重复。第3页整段四数据集增益、36组结果及性能限制后，已直接添加“在实验部分内容呈现”。</w:t>
      </w:r>
    </w:p>
    <w:p>
      <w:r>
        <w:t>具体修改：在实验章节给出完整表格和分析，引言仅保留必要的简短验证概述。原有负迁移、图像级指标未全部提升和推理开销等限制也应随实验段落保留，不能在搬移中只留下有利数字。</w:t>
      </w:r>
    </w:p>
    <w:p>
      <w:pPr>
        <w:pStyle w:val="Heading2"/>
      </w:pPr>
      <w:r>
        <w:t>5 重建贡献列表</w:t>
      </w:r>
    </w:p>
    <w:p>
      <w:r>
        <w:t>46:43—48:24 中，老师认为原列表“框架—匹配实验—可复现评估”的技术贡献表达偏弱。优先写新框架，再写有特点的模块、机制或策略；实在无法形成第三项技术贡献时，实验验证才作为次优选择。</w:t>
      </w:r>
    </w:p>
    <w:p>
      <w:r>
        <w:t>文档已经改为：第一项以“Novel framework.”开头；第二、第三项为“XXX model/ strategy.”。这两项是研究与写作待办，绝不能直接当作完成的创新点。</w:t>
      </w:r>
    </w:p>
    <w:p>
      <w:r>
        <w:t>整理建议：为每个拟写贡献建立四个对应项：它解决的问题、相对已有技术的不同、对应代码或算法、验证证据。如果后两项无法成立，先缩小主张或继续研究，不要为凑三条硬造贡献。</w:t>
      </w:r>
    </w:p>
    <w:p>
      <w:pPr>
        <w:pStyle w:val="Heading1"/>
      </w:pPr>
      <w:r>
        <w:t>五 相关工作应该怎样重写</w:t>
      </w:r>
    </w:p>
    <w:p>
      <w:pPr>
        <w:pStyle w:val="Heading2"/>
      </w:pPr>
      <w:r>
        <w:t>1 采用总分总且分类前后一致</w:t>
      </w:r>
    </w:p>
    <w:p>
      <w:r>
        <w:t>49:12—01:04:45 的核心要求是：开头总述分类，接着按这些类分别介绍，最后给跨类别总结和与本文的联系。课堂文档将原来带 2.1—2.4 小标题的组织方式调整为连续分类段落。</w:t>
      </w:r>
    </w:p>
    <w:p>
      <w:r>
        <w:t>课堂所用三类为：重建与单类学习；预训练特征嵌入与正常记忆；基础模型或混合方法。具体归类还应复核，因为当前第二类段落合入了 DINO 系列和视觉语言方法，内容已很长，可能与第三类出现边界重叠。</w:t>
      </w:r>
    </w:p>
    <w:p>
      <w:r>
        <w:t>具体修改：开头列出的类别名称与每类段首一致；每类按“核心思想—代表研究—优势和局限”展开。避免开头三类，后面变成不对应的四组内容。</w:t>
      </w:r>
    </w:p>
    <w:p>
      <w:pPr>
        <w:pStyle w:val="Heading2"/>
      </w:pPr>
      <w:r>
        <w:t>2 对代表论文写出具体案例</w:t>
      </w:r>
    </w:p>
    <w:p>
      <w:r>
        <w:t>51:46—54:17 中，老师要求有“某作者等提出某机制来解决某问题”这样的实例。用户询问是否只需写作者，老师明确回应：重点不在补作者名字，而在表明真正理解该论文做了什么。</w:t>
      </w:r>
    </w:p>
    <w:p>
      <w:r>
        <w:t>具体修改：选择每类最相关的代表论文，写清问题、机制与局限，并给准确引用。不能只罗列方法缩写后挂编号。作者名、方法名、机制和来源均需核实；不应照抄文档中“Chen et al. [xx] proposed a …”这个示范占位句。</w:t>
      </w:r>
    </w:p>
    <w:p>
      <w:r>
        <w:t>整理建议的句型：某研究为解决某问题提出某机制；该机制在某条件下有何优势，但仍依赖某条件或留下某问题。最后一句连接到本文关注的正常样本稀缺或特征融合问题。</w:t>
      </w:r>
    </w:p>
    <w:p>
      <w:pPr>
        <w:pStyle w:val="Heading2"/>
      </w:pPr>
      <w:r>
        <w:t>3 全章最后单独作综合比较</w:t>
      </w:r>
    </w:p>
    <w:p>
      <w:r>
        <w:t>56:03—01:03:59 中，老师不接受只在“Hybrid Fusion and the Position of This Work”这一类下面完成全章总结。这样容易让前两类与本文脱节，也可能把很短的本文定位单列成一个不必要的大标题。</w:t>
      </w:r>
    </w:p>
    <w:p>
      <w:r>
        <w:t>具体修改：在三类内容结束后另起综合段落，比较它们的优势与不足，概括当前研究仍面临什么，再用一两句引出本文。不要在此复述整个方法章节。</w:t>
      </w:r>
    </w:p>
    <w:p>
      <w:r>
        <w:t>第5—6页的中文提示“以上方法两两相比各自优劣势”“国内外研究现状和本文方法联系一起”就是这项任务。原稿并非完全没有定位句，问题是定位段的归属和与前文的衔接不够清楚。</w:t>
      </w:r>
    </w:p>
    <w:p>
      <w:pPr>
        <w:pStyle w:val="Heading2"/>
      </w:pPr>
      <w:r>
        <w:t>4 英文概念和语法仍要精修</w:t>
      </w:r>
    </w:p>
    <w:p>
      <w:r>
        <w:t>49:26—51:46 对 family、solutions、methods、approaches、technologies 和 reconstruction networks 作了用词调整。这些反映了老师希望句子中的分类对象、方法与网络主体表达更准确。</w:t>
      </w:r>
    </w:p>
    <w:p>
      <w:r>
        <w:t>当前课堂文本仍有“appoches”“PaDiM model [17] the distribution”“to that foundation-model-based …”等未完成或语法不顺的句子。它们是现场修改残留，不能因为已被老师改过就跳过校对。</w:t>
      </w:r>
    </w:p>
    <w:p>
      <w:pPr>
        <w:pStyle w:val="Heading1"/>
      </w:pPr>
      <w:r>
        <w:t>六 参考文献年份与格式</w:t>
      </w:r>
    </w:p>
    <w:p>
      <w:pPr>
        <w:pStyle w:val="Heading2"/>
      </w:pPr>
      <w:r>
        <w:t>1 课堂对新文献比例的建议</w:t>
      </w:r>
    </w:p>
    <w:p>
      <w:r>
        <w:t>24:47—26:27、01:22:05—01:24:26 中，老师建议近三年文献约占七至八成，尤其在引言的背景介绍中增加 2025、2026 年的相关研究，为必须保留的较老方法和数据集来源留空间。老师也提醒后面还要添加实验方法与数据集引用，应统筹全文。</w:t>
      </w:r>
    </w:p>
    <w:p>
      <w:r>
        <w:t>“近三年”在本次按 2024—2026 年计算，2025—2026 年是老师强调应优先关注的两年，不应把两者混为同一范围。</w:t>
      </w:r>
    </w:p>
    <w:p>
      <w:r>
        <w:t>按课堂文档参考文献表所列年份统计，共33篇：2024年10篇，2025年8篇，2026年6篇，2023年1篇，2022年2篇，2021年5篇，2019年1篇。近三年共24篇，约72.7%；更早的9篇，约27.3%。这只是对现有条目年份的统计，不代表已逐篇核验元数据。</w:t>
      </w:r>
    </w:p>
    <w:p>
      <w:r>
        <w:t>所以当前已经达到七成，未达到八成。若总数仍为33篇，达到至少80%需要27篇近三年文献。课堂“非近三年六七篇左右”是配合总量的近似说法，不是可以脱离总数单独使用的阈值。最终按目标期刊要求和来源必要性决定，不应为比例删掉必需的原始出处。</w:t>
      </w:r>
    </w:p>
    <w:p>
      <w:pPr>
        <w:pStyle w:val="Heading2"/>
      </w:pPr>
      <w:r>
        <w:t>2 引用编号与参考文献表已经出现不同步</w:t>
      </w:r>
    </w:p>
    <w:p>
      <w:r>
        <w:t>这是对文档的直接核查发现，应优先修复。第2页对正文编号作了部分重排，但第10—11页仍保留原参考文献表。例如：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1757"/>
        <w:gridCol w:w="2891"/>
        <w:gridCol w:w="3118"/>
      </w:tblGrid>
      <w:tr>
        <w:trPr>
          <w:cantSplit/>
          <w:tblHeader/>
        </w:trPr>
        <w:tc>
          <w:tcPr>
            <w:tcW w:type="dxa" w:w="1757"/>
            <w:vAlign w:val="center"/>
            <w:shd w:fill="E3EB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正文位置</w:t>
            </w:r>
          </w:p>
        </w:tc>
        <w:tc>
          <w:tcPr>
            <w:tcW w:type="dxa" w:w="1757"/>
            <w:vAlign w:val="center"/>
            <w:shd w:fill="E3EB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课堂稿中的编号</w:t>
            </w:r>
          </w:p>
        </w:tc>
        <w:tc>
          <w:tcPr>
            <w:tcW w:type="dxa" w:w="2891"/>
            <w:vAlign w:val="center"/>
            <w:shd w:fill="E3EB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该编号当前对应的条目</w:t>
            </w:r>
          </w:p>
        </w:tc>
        <w:tc>
          <w:tcPr>
            <w:tcW w:type="dxa" w:w="3118"/>
            <w:vAlign w:val="center"/>
            <w:shd w:fill="E3EB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原参考文献表中相符的来源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PatchCore 的方法描述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[2]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SPot-the-Difference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PatchCore 为 [5]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DINOv2 的方法描述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[3]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MPDD 数据集论文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DINOv2 为 [6]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CLIP 的预训练描述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[4]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VT-ADL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CLIP 为 [8]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WinCLIP 的方法描述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[5]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PatchCore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WinCLIP 为 [9]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AnomalyCLIP 与 PromptAD 附近</w:t>
            </w:r>
          </w:p>
        </w:tc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[6]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DINOv2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原表相关来源为 [10]、[11]</w:t>
            </w:r>
          </w:p>
        </w:tc>
      </w:tr>
    </w:tbl>
    <w:p>
      <w:pPr>
        <w:spacing w:after="40"/>
      </w:pPr>
    </w:p>
    <w:p>
      <w:r>
        <w:t>此处只说明当前编号关系，不应把右栏编号机械回填为最终编号。正确做法是在段落和文献选择稳定后，按目标期刊引用顺序全篇统一重建编号，并核查每个引用支持的句子。</w:t>
      </w:r>
    </w:p>
    <w:p>
      <w:pPr>
        <w:pStyle w:val="Heading2"/>
      </w:pPr>
      <w:r>
        <w:t>3 文献格式全篇统一</w:t>
      </w:r>
    </w:p>
    <w:p>
      <w:r>
        <w:t>01:24:59—01:27:06 中，老师指出 DOI 有时给、有时不给，标题引号和大小写也需统一。现有 CVPR、ICCV、IEEE 等来源类型得到认可，但实验部分仍需要补对应引用。</w:t>
      </w:r>
    </w:p>
    <w:p>
      <w:r>
        <w:t>具体修改：统一作者、题名、会议或期刊名、年份、卷期、页码或文章号以及 DOI 的呈现规则。采用含 DOI 的风格时，补全确实存在的 DOI；没有 DOI 的条目不能虚构。最终格式随投稿模板确定。</w:t>
      </w:r>
    </w:p>
    <w:p>
      <w:pPr>
        <w:pStyle w:val="Heading1"/>
      </w:pPr>
      <w:r>
        <w:t>七 数学变量和公式</w:t>
      </w:r>
    </w:p>
    <w:p>
      <w:pPr>
        <w:pStyle w:val="Heading2"/>
      </w:pPr>
      <w:r>
        <w:t>1 建立全文一致的符号规范</w:t>
      </w:r>
    </w:p>
    <w:p>
      <w:r>
        <w:t>39:22—45:16、01:03:59—01:05:57 的要求是让变量与普通正文区分，并保持图文一致。老师主要建议标量采用斜体，矩阵、向量、集合采用加粗或斜体加粗等稳定表示。</w:t>
      </w:r>
    </w:p>
    <w:p>
      <w:r>
        <w:t>当前文档第6页直接写入了这条中文规则，并以 K、支持集等作示范。应按符号的数学类型制定规则，不要把课堂对“包含几个元素”的口头类比当成集合或向量的严格定义。</w:t>
      </w:r>
    </w:p>
    <w:p>
      <w:r>
        <w:t>整理建议：逐项核查 K、c、x、参考集 R_c、特征张量 F_D 与 F_C、融合特征、记忆库 M_c、patch 分数、像素图、图像级得分、网格尺寸、alpha、epsilon 和 sigma。若使用 L2 范数，应正确表现为 L 的数学记号及下标2；函数名和说明性下标也应采用一致规则。</w:t>
      </w:r>
    </w:p>
    <w:p>
      <w:pPr>
        <w:pStyle w:val="Heading2"/>
      </w:pPr>
      <w:r>
        <w:t>2 公式需要可编辑 编号完整 解释充分</w:t>
      </w:r>
    </w:p>
    <w:p>
      <w:r>
        <w:t>01:04:52—01:06:51 中，老师认可现有公式可编辑，但指出没有连续编号、部分表达像普通正文、数学展开偏少。课堂已给归一化和融合两式补上 (1)、(2)；第9页的记忆库和评分公式尚未完成编号，记忆库公式后仍有“xxx”。</w:t>
      </w:r>
    </w:p>
    <w:p>
      <w:r>
        <w:t>具体修改：为正式展示的公式连续编号，在正文中引用；解释新符号、维度、输入输出和运算顺序。补充的公式应描述真实计算，不是为了看起来复杂而拆分或增加无用符号。</w:t>
      </w:r>
    </w:p>
    <w:p>
      <w:r>
        <w:t>整理建议：可优先展开空间插值对齐、分支归一化、固定融合、正常记忆构建、最近邻评分、上采样和平滑、图像级聚合。是否都需要独立成式，依真实实现和叙述需要决定；本次课没有指定必须达到某个公式数量。</w:t>
      </w:r>
    </w:p>
    <w:p>
      <w:r>
        <w:t>第9页评分式中的二分之一在可视化中是正常分式，文本提取会把它展平成“12”。不要据纯文本误判为系数12；最终应按数学公式核查。</w:t>
      </w:r>
    </w:p>
    <w:p>
      <w:pPr>
        <w:pStyle w:val="Heading1"/>
      </w:pPr>
      <w:r>
        <w:t>八 模型配置与实验章节</w:t>
      </w:r>
    </w:p>
    <w:p>
      <w:pPr>
        <w:pStyle w:val="Heading2"/>
      </w:pPr>
      <w:r>
        <w:t>1 新增 3.7 Model Configuration</w:t>
      </w:r>
    </w:p>
    <w:p>
      <w:r>
        <w:t>01:17:32—01:19:48 中，老师要求模型配置表或等效清晰表达，给出网络结构、超参数、适用的训练参数，以及“哪一层连到哪一层”。第10页已增加标题和“Layer, param#, Connected layer …”提示。</w:t>
      </w:r>
    </w:p>
    <w:p>
      <w:r>
        <w:t>整理建议的字段：模块或层名、输入来源、输入尺寸、输出尺寸、关键参数、后续连接、是否冻结、可训练参数量。具体数值从实际论文版本配置和代码读取，不能仅照抄课堂示例。</w:t>
      </w:r>
    </w:p>
    <w:p>
      <w:r>
        <w:t>当前稿件说明目标域管线无可训练参数。因此学习率、优化器和训练 epoch 若不适用，应明确写不适用，并区分预训练模型来源、正常记忆构建和查询推理；不能为凑“训练配置”虚构目标域训练流程。</w:t>
      </w:r>
    </w:p>
    <w:p>
      <w:pPr>
        <w:pStyle w:val="Heading2"/>
      </w:pPr>
      <w:r>
        <w:t>2 新增并完成 4.1 Experiment Design</w:t>
      </w:r>
    </w:p>
    <w:p>
      <w:r>
        <w:t>28:33—34:22、01:19:48、01:27:06 的明确要求包括：和谁比、用什么指标、在哪些数据集比、在什么设备上运行，并保持控制变量。</w:t>
      </w:r>
    </w:p>
    <w:p>
      <w:pPr>
        <w:pStyle w:val="ListBullet"/>
      </w:pPr>
      <w:r>
        <w:t>对比方法：包含近两年的相关新方法；介绍每个对比方法时有准确来源。</w:t>
      </w:r>
    </w:p>
    <w:p>
      <w:pPr>
        <w:pStyle w:val="ListBullet"/>
      </w:pPr>
      <w:r>
        <w:t>消融实验：验证本文架构、模块或策略的作用，而不只是与外部方法比较。</w:t>
      </w:r>
    </w:p>
    <w:p>
      <w:pPr>
        <w:pStyle w:val="ListBullet"/>
      </w:pPr>
      <w:r>
        <w:t>评价指标：明确检测与定位各使用哪些指标，并说明如何汇总结果。</w:t>
      </w:r>
    </w:p>
    <w:p>
      <w:pPr>
        <w:pStyle w:val="ListBullet"/>
      </w:pPr>
      <w:r>
        <w:t>数据集：在此介绍名称、任务属性、规模和相关分布，引用其原始出处。</w:t>
      </w:r>
    </w:p>
    <w:p>
      <w:pPr>
        <w:pStyle w:val="ListBullet"/>
      </w:pPr>
      <w:r>
        <w:t>运行设备：真实 CPU 型号、内存、GPU 型号与显存；实验配置与设备能力相符。</w:t>
      </w:r>
    </w:p>
    <w:p>
      <w:pPr>
        <w:pStyle w:val="ListBullet"/>
      </w:pPr>
      <w:r>
        <w:t>公平性：在可比较的协议与设备条件下运行，说明与无法完全统一的外部结果之间的区别。</w:t>
      </w:r>
    </w:p>
    <w:p>
      <w:r>
        <w:t>整理建议：在当前 DCFnet 框架下还需清楚记录 shot、参考抽样 seed、评价分辨率、权重来源和数据角色。现稿关于 MPDD 开发、BTAD/MVTec AD 外部验证、VisA 验证角色的限制应保留；老师本次没有确认可以改变这些协议。</w:t>
      </w:r>
    </w:p>
    <w:p>
      <w:r>
        <w:t>硬件部分的16 GB内存、4 GB显存、分辨率和batch size均是在解释“自洽”时举的例子，不是你的真实配置结论，也不是通用最低配置要求。按实际记录填写；设备是否适用应由实际软件后端与实验结果确认。</w:t>
      </w:r>
    </w:p>
    <w:p>
      <w:pPr>
        <w:pStyle w:val="Heading2"/>
      </w:pPr>
      <w:r>
        <w:t>3 完成 4.2 Results Analysis</w:t>
      </w:r>
    </w:p>
    <w:p>
      <w:r>
        <w:t>01:19:48—01:22:05 中，老师建议先给本文自身的检测结果及分析，再与其他方法对比。要同时呈现定性与定量信息：检测效果图、指标表、功能或效果差异，以及速度、参数量等模型性能。</w:t>
      </w:r>
    </w:p>
    <w:p>
      <w:r>
        <w:t>整理建议的组织顺序：本文结果概览；与基线和新方法的定量比较；可视化对比；模块消融；不同类别和条件的表现；计算代价与局限。这个细分顺序是执行建议，老师只明确提出4.2需含结果分析及定性定量比较。</w:t>
      </w:r>
    </w:p>
    <w:p>
      <w:r>
        <w:t>当前稿件中已有的36组数据集级正增益描述，只能支持其限定范围内的结论，不能改写为全部类别或所有指标都提高。对失败类别、图像级指标未普遍提升和双编码器成本的分析应保留。</w:t>
      </w:r>
    </w:p>
    <w:p>
      <w:pPr>
        <w:pStyle w:val="Heading1"/>
      </w:pPr>
      <w:r>
        <w:t>九 结论 GitHub和后续研究</w:t>
      </w:r>
    </w:p>
    <w:p>
      <w:pPr>
        <w:pStyle w:val="Heading2"/>
      </w:pPr>
      <w:r>
        <w:t>1 先写结论初稿 再继续修改</w:t>
      </w:r>
    </w:p>
    <w:p>
      <w:r>
        <w:t>01:27:20—01:28:10 中，老师要求结论大致说明本文做了什么、验证了什么。用户提出把前面自己完成的内容浓缩，老师予以确认。</w:t>
      </w:r>
    </w:p>
    <w:p>
      <w:r>
        <w:t>具体修改：简述问题、核心方法、经过验证的主要发现；不重复实验章节的全部数表，也不逐句复制摘要。是否增加局限和未来工作可结合最终论文结构决定，本次课没有提出固定字数。</w:t>
      </w:r>
    </w:p>
    <w:p>
      <w:pPr>
        <w:pStyle w:val="Heading2"/>
      </w:pPr>
      <w:r>
        <w:t>2 维护与论文版本相符的 GitHub</w:t>
      </w:r>
    </w:p>
    <w:p>
      <w:r>
        <w:t>01:29:06—01:29:28 中，老师要求维护仓库，用户说明近期一直有提交。整理建议：让论文中的算法、配置、表格和仓库版本可以相互对应，保留复现实验说明与结果来源。</w:t>
      </w:r>
    </w:p>
    <w:p>
      <w:pPr>
        <w:pStyle w:val="Heading2"/>
      </w:pPr>
      <w:r>
        <w:t>3 继续融合或架构创新 但没有确定具体算法</w:t>
      </w:r>
    </w:p>
    <w:p>
      <w:r>
        <w:t>01:29:28—01:31:00 中，用户报告已尝试十几版改动，效果未超过当前固定融合，并询问这些是否都不应写进论文。老师强调仍需想办法设计有价值的新融合或架构，让用户先改，再继续推进。</w:t>
      </w:r>
    </w:p>
    <w:p>
      <w:r>
        <w:t>本段明确确定的是继续探索，未确定新的融合公式、训练方案或必须替换固定融合。老师也没有对“所有效果较差方案都不能写”作明确回答。</w:t>
      </w:r>
    </w:p>
    <w:p>
      <w:r>
        <w:t>整理建议：保留各版本的动机、配置和结果，区分候选主方法与探索性对照；不要把效果较差方案包装成提升，也不必把所有失败尝试塞进正文。哪些结果适合用于消融、设计取舍或补充材料，须根据可比性和论证价值再决定。</w:t>
      </w:r>
    </w:p>
    <w:p>
      <w:r>
        <w:t>下一步可以先形成“当前方案解决了什么、还缺什么、希望新模块改变哪个环节、如何公平验证”的研究说明，再实现候选。该工作是研究方向，不是本次已经完成的技术结论。</w:t>
      </w:r>
    </w:p>
    <w:p>
      <w:pPr>
        <w:pStyle w:val="Heading1"/>
      </w:pPr>
      <w:r>
        <w:t>十 课堂文档的实际改动和未完成状态</w:t>
      </w:r>
    </w:p>
    <w:p>
      <w:r>
        <w:t>以下位置均对应所提供的课堂文件，方便在 Word 中定位。括号中的状态描述的是文件现状，不表示相关修改已经通过技术审核。</w:t>
      </w:r>
    </w:p>
    <w:p>
      <w:r>
        <w:t>1. 第1页摘要：architecture 改为 network，任务描述增加 tasks；加入“全称(DPAM)”提示和代码地址占位符；若干方法与实验句被标红。应继续压缩摘要、补全必要术语、清除占位文本。</w:t>
      </w:r>
    </w:p>
    <w:p>
      <w:r>
        <w:t>2. 第1页关键词：由六项改为五项，采用 localization、calibrated fusion 等表述。需与最终标题和正文复核。</w:t>
      </w:r>
    </w:p>
    <w:p>
      <w:r>
        <w:t>3. 第2页数据集句：原引言数据集列举被标红，原先集中引用发生变化。移到实验设计的工作尚未彻底完成。</w:t>
      </w:r>
    </w:p>
    <w:p>
      <w:r>
        <w:t>4. 第2页具体方法介绍：Sea-CLIP 等段落被标红；应重审引言与相关工作的分工。</w:t>
      </w:r>
    </w:p>
    <w:p>
      <w:r>
        <w:t>5. 第2—3页难点总结：增加 [xx]。需要补真实支持来源并参与全篇重编号。</w:t>
      </w:r>
    </w:p>
    <w:p>
      <w:r>
        <w:t>6. 第3页引言方法概述：展开名称改为小写形式；“The contributions …”移到方法概述段末。正式贡献列表仍受其后实验段落的插入影响。</w:t>
      </w:r>
    </w:p>
    <w:p>
      <w:r>
        <w:t>7. 第3页实验汇总段：新增“在实验部分内容呈现”。搬移后应修复引言衔接，并保留原有限定条件。</w:t>
      </w:r>
    </w:p>
    <w:p>
      <w:r>
        <w:t>8. 第3页贡献列表：第一项为 Novel framework；另两项为 XXX model/strategy。原有实验设计与可复现评估条目不再作为已写好的第二、第三技术贡献。</w:t>
      </w:r>
    </w:p>
    <w:p>
      <w:r>
        <w:t>9. 第3—6页相关工作：删去原2.1—2.4的小标题式组织，改写总述并合并类别段；添加具体引用示范、分类开头和中文总结提示。仍需处理超长段落、分类边界和英语语法。</w:t>
      </w:r>
    </w:p>
    <w:p>
      <w:r>
        <w:t>10. 第6页方法标题：加入单元素变量斜体、多元素对象加粗或斜体加粗的中文提示；正文部分符号着色示范。必须全篇统一，而非只处理被点到的几个符号。</w:t>
      </w:r>
    </w:p>
    <w:p>
      <w:r>
        <w:t>11. 第7页图示：保留DCFnet原图，并插入布局配色参考图；追加“文字大，配色参考，主流程的箭头明显，堆叠排列后确保占地一个矩形”等红字。参考图不能留作正式DCFnet结果图。</w:t>
      </w:r>
    </w:p>
    <w:p>
      <w:r>
        <w:t>12. 第8页任务便条：写入“全文公式不高深不多”“能否尽量细节模块…加图”“维护github”“修改Introduction和Relatedwork”。均应转为正式内容或完成后移出正文。</w:t>
      </w:r>
    </w:p>
    <w:p>
      <w:r>
        <w:t>13. 第8—9页公式：前两式加编号；记忆库式后有 xxx；评分式和部分行内表达标红。连续编号和数学排版仍未完成。</w:t>
      </w:r>
    </w:p>
    <w:p>
      <w:r>
        <w:t>14. 第10页章节骨架：新增3.7 Model Configuration、4. Experimental Evaluations、4.1 Experiment design、4.2 Results analysis和5 Conclusion，并留下配置、设备、结果分析的中文提示。</w:t>
      </w:r>
    </w:p>
    <w:p>
      <w:r>
        <w:t>15. 第10—11页参考文献：标题后添加“文献格式风格需统一。Doi”；部分较早条目标红。文献表仍为33项，尚未与正文局部重编号同步。</w:t>
      </w:r>
    </w:p>
    <w:p>
      <w:r>
        <w:t>额外清理项：中文教学提示、[xx]、XXX、全称占位、示范句、失效URL、重复Figure 1句子、不完整标点和直接拼接的英语。红绿字体表示课堂强调或示范，不可一律按“红字删除、绿字保留”机械处理。</w:t>
      </w:r>
    </w:p>
    <w:p>
      <w:pPr>
        <w:pStyle w:val="Heading1"/>
      </w:pPr>
      <w:r>
        <w:t>十一 容易误解或仍需确认的事项</w:t>
      </w:r>
    </w:p>
    <w:p>
      <w:pPr>
        <w:pStyle w:val="ListBullet"/>
      </w:pPr>
      <w:r>
        <w:t>近三年七至八成：本次课堂的选文献建议；尚未指定目标期刊并核实其硬性规则。引文正确性和原始出处不能让位于凑比例。</w:t>
      </w:r>
    </w:p>
    <w:p>
      <w:pPr>
        <w:pStyle w:val="ListBullet"/>
      </w:pPr>
      <w:r>
        <w:t>主图占20%：强调重要性的经验表述，不是可引用的统计结论。</w:t>
      </w:r>
    </w:p>
    <w:p>
      <w:pPr>
        <w:pStyle w:val="ListBullet"/>
      </w:pPr>
      <w:r>
        <w:t>摘要和图的规则：字数、关键词数、图文摘要和双栏尺寸，最终仍以目标刊物模板为准；本次没有确定投稿对象。</w:t>
      </w:r>
    </w:p>
    <w:p>
      <w:pPr>
        <w:pStyle w:val="ListBullet"/>
      </w:pPr>
      <w:r>
        <w:t>原创性：老师要求突出设计功能，不等于授权隐藏借鉴来源。写作优化和算法创新是两项不同工作。</w:t>
      </w:r>
    </w:p>
    <w:p>
      <w:pPr>
        <w:pStyle w:val="ListBullet"/>
      </w:pPr>
      <w:r>
        <w:t>数学排版：按数学对象类型定义规则，不能把课堂口头类比当成严格数学定义。当前L2和分式等要结合实际公式检查。</w:t>
      </w:r>
    </w:p>
    <w:p>
      <w:pPr>
        <w:pStyle w:val="ListBullet"/>
      </w:pPr>
      <w:r>
        <w:t>设备示例：真实运行配置必须自洽；不把CPU/GPU的口头举例推导成所有深度学习框架的通用限制。</w:t>
      </w:r>
    </w:p>
    <w:p>
      <w:pPr>
        <w:pStyle w:val="ListBullet"/>
      </w:pPr>
      <w:r>
        <w:t>训练配置：固定冻结版本没有目标域训练，就如实注明不适用；若后续引入可训练模块，应同步更新方法和实验协议。</w:t>
      </w:r>
    </w:p>
    <w:p>
      <w:pPr>
        <w:pStyle w:val="ListBullet"/>
      </w:pPr>
      <w:r>
        <w:t>标点半角：腾讯会议自动纪要列出“全文统一英文半角标点”。本次在已读逐字稿中未定位到同等明确的独立讲解，宜作为格式检查项，不能伪造一个老师原话时间点。</w:t>
      </w:r>
    </w:p>
    <w:p>
      <w:pPr>
        <w:pStyle w:val="ListBullet"/>
      </w:pPr>
      <w:r>
        <w:t>失败实验：最后讨论未决定全部删除。是否纳入论文需要按论证目的判断。</w:t>
      </w:r>
    </w:p>
    <w:p>
      <w:pPr>
        <w:pStyle w:val="ListBullet"/>
      </w:pPr>
      <w:r>
        <w:t>截止时间：老师强调论文持续打磨，也说“先改完再推进”；本次没有给出明确交付日期或下一次上课时间。</w:t>
      </w:r>
    </w:p>
    <w:p>
      <w:pPr>
        <w:pStyle w:val="Heading1"/>
      </w:pPr>
      <w:r>
        <w:t>十二 建议执行顺序和验收清单</w:t>
      </w:r>
    </w:p>
    <w:p>
      <w:r>
        <w:t>以下优先级与拆分方式为整理建议，所有条目均为待执行检查项，不是本次已经改完论文的声明。</w:t>
      </w:r>
    </w:p>
    <w:p>
      <w:pPr>
        <w:pStyle w:val="Heading2"/>
      </w:pPr>
      <w:r>
        <w:t>第一阶段 明确主张并整理正文骨架</w:t>
      </w:r>
    </w:p>
    <w:p>
      <w:pPr>
        <w:ind w:left="227" w:hanging="227"/>
      </w:pPr>
      <w:r>
        <w:t>□ 固定本轮论文采用的方法版本，区分现有固定融合与后续候选方案。</w:t>
      </w:r>
    </w:p>
    <w:p>
      <w:pPr>
        <w:ind w:left="227" w:hanging="227"/>
      </w:pPr>
      <w:r>
        <w:t>□ 列出真实贡献及对应证据，处理两个XXX贡献占位。</w:t>
      </w:r>
    </w:p>
    <w:p>
      <w:pPr>
        <w:ind w:left="227" w:hanging="227"/>
      </w:pPr>
      <w:r>
        <w:t>□ 调整引言的背景、问题、方法和贡献顺序。</w:t>
      </w:r>
    </w:p>
    <w:p>
      <w:pPr>
        <w:ind w:left="227" w:hanging="227"/>
      </w:pPr>
      <w:r>
        <w:t>□ 将数据集详情、长篇结果段和具体方法比较移入对应章节。</w:t>
      </w:r>
    </w:p>
    <w:p>
      <w:pPr>
        <w:ind w:left="227" w:hanging="227"/>
      </w:pPr>
      <w:r>
        <w:t>□ 将Related Work改成分类一致、具体实例充分、总结独立的总分总结构。</w:t>
      </w:r>
    </w:p>
    <w:p>
      <w:pPr>
        <w:ind w:left="227" w:hanging="227"/>
      </w:pPr>
      <w:r>
        <w:t>□ 为拟新增模块图与公式明确要回答的问题，避免重复。</w:t>
      </w:r>
    </w:p>
    <w:p>
      <w:r>
        <w:t>阶段验收：读引言能明确论文问题和贡献；读相关工作能知道本文与各类研究的关系；没有靠实验成绩代替技术设计说明。</w:t>
      </w:r>
    </w:p>
    <w:p>
      <w:pPr>
        <w:pStyle w:val="Heading2"/>
      </w:pPr>
      <w:r>
        <w:t>第二阶段 完善图和数学表达</w:t>
      </w:r>
    </w:p>
    <w:p>
      <w:pPr>
        <w:ind w:left="227" w:hanging="227"/>
      </w:pPr>
      <w:r>
        <w:t>□ 按真实输出栏宽重绘主图，文字、框、箭头同步调整。</w:t>
      </w:r>
    </w:p>
    <w:p>
      <w:pPr>
        <w:ind w:left="227" w:hanging="227"/>
      </w:pPr>
      <w:r>
        <w:t>□ 保留正确的支撑集与查询路径，明确记忆构建和推理边界。</w:t>
      </w:r>
    </w:p>
    <w:p>
      <w:pPr>
        <w:ind w:left="227" w:hanging="227"/>
      </w:pPr>
      <w:r>
        <w:t>□ 采用紧凑矩形、上下两层或合理蛇形，并保持全部文字正向。</w:t>
      </w:r>
    </w:p>
    <w:p>
      <w:pPr>
        <w:ind w:left="227" w:hanging="227"/>
      </w:pPr>
      <w:r>
        <w:t>□ 配色和线条层次统一，输入输出图像和标签清楚。</w:t>
      </w:r>
    </w:p>
    <w:p>
      <w:pPr>
        <w:ind w:left="227" w:hanging="227"/>
      </w:pPr>
      <w:r>
        <w:t>□ 补充实际需要的模块细节图，并在对应方法段落引用。</w:t>
      </w:r>
    </w:p>
    <w:p>
      <w:pPr>
        <w:ind w:left="227" w:hanging="227"/>
      </w:pPr>
      <w:r>
        <w:t>□ 制定符号表并同步正文、图、表、公式。</w:t>
      </w:r>
    </w:p>
    <w:p>
      <w:pPr>
        <w:ind w:left="227" w:hanging="227"/>
      </w:pPr>
      <w:r>
        <w:t>□ 完成连续公式编号、变量解释和真实运算展开。</w:t>
      </w:r>
    </w:p>
    <w:p>
      <w:pPr>
        <w:ind w:left="227" w:hanging="227"/>
      </w:pPr>
      <w:r>
        <w:t>□ 在最终版面检查Figure 1首次引用与图的位置。</w:t>
      </w:r>
    </w:p>
    <w:p>
      <w:r>
        <w:t>阶段验收：无需额外放大即可阅读主图；从输入到输出的流程可追踪；公式和图中每个符号均能找到定义。</w:t>
      </w:r>
    </w:p>
    <w:p>
      <w:pPr>
        <w:pStyle w:val="Heading2"/>
      </w:pPr>
      <w:r>
        <w:t>第三阶段 补实验与结论</w:t>
      </w:r>
    </w:p>
    <w:p>
      <w:pPr>
        <w:ind w:left="227" w:hanging="227"/>
      </w:pPr>
      <w:r>
        <w:t>□ 填写3.7配置表，含尺寸、关键参数、连接、冻结状态及参数量口径。</w:t>
      </w:r>
    </w:p>
    <w:p>
      <w:pPr>
        <w:ind w:left="227" w:hanging="227"/>
      </w:pPr>
      <w:r>
        <w:t>□ 写清4.1中的对比方法、指标、数据集、消融与协议。</w:t>
      </w:r>
    </w:p>
    <w:p>
      <w:pPr>
        <w:ind w:left="227" w:hanging="227"/>
      </w:pPr>
      <w:r>
        <w:t>□ 从实际运行记录填写CPU、内存、GPU、显存和batch size等。</w:t>
      </w:r>
    </w:p>
    <w:p>
      <w:pPr>
        <w:ind w:left="227" w:hanging="227"/>
      </w:pPr>
      <w:r>
        <w:t>□ 将数据集和对比方法的引用补到实验设计中。</w:t>
      </w:r>
    </w:p>
    <w:p>
      <w:pPr>
        <w:ind w:left="227" w:hanging="227"/>
      </w:pPr>
      <w:r>
        <w:t>□ 完成本文结果、方法比较、定性图、消融和代价分析。</w:t>
      </w:r>
    </w:p>
    <w:p>
      <w:pPr>
        <w:ind w:left="227" w:hanging="227"/>
      </w:pPr>
      <w:r>
        <w:t>□ 核对全部结果与对应代码版本、种子和设置一致。</w:t>
      </w:r>
    </w:p>
    <w:p>
      <w:pPr>
        <w:ind w:left="227" w:hanging="227"/>
      </w:pPr>
      <w:r>
        <w:t>□ 保留负迁移、未普遍提升的指标和计算开销等限制。</w:t>
      </w:r>
    </w:p>
    <w:p>
      <w:pPr>
        <w:ind w:left="227" w:hanging="227"/>
      </w:pPr>
      <w:r>
        <w:t>□ 写出结论初稿，概括工作和已验证发现。</w:t>
      </w:r>
    </w:p>
    <w:p>
      <w:r>
        <w:t>阶段验收：每个主要结论有结果支持；读者能知道怎么复现和怎样比较；不把未来设想写成已完成工作。</w:t>
      </w:r>
    </w:p>
    <w:p>
      <w:pPr>
        <w:pStyle w:val="Heading2"/>
      </w:pPr>
      <w:r>
        <w:t>第四阶段 引用与语言收尾</w:t>
      </w:r>
    </w:p>
    <w:p>
      <w:pPr>
        <w:ind w:left="227" w:hanging="227"/>
      </w:pPr>
      <w:r>
        <w:t>□ 核验保留和新增文献，重新统计近三年比例。</w:t>
      </w:r>
    </w:p>
    <w:p>
      <w:pPr>
        <w:ind w:left="227" w:hanging="227"/>
      </w:pPr>
      <w:r>
        <w:t>□ 按最终正文重建全部引用编号，消除当前错配。</w:t>
      </w:r>
    </w:p>
    <w:p>
      <w:pPr>
        <w:ind w:left="227" w:hanging="227"/>
      </w:pPr>
      <w:r>
        <w:t>□ 统一文献的DOI、大小写、引号、卷期页码等格式。</w:t>
      </w:r>
    </w:p>
    <w:p>
      <w:pPr>
        <w:ind w:left="227" w:hanging="227"/>
      </w:pPr>
      <w:r>
        <w:t>□ 精简摘要，统一术语展开式、标题和关键词。</w:t>
      </w:r>
    </w:p>
    <w:p>
      <w:pPr>
        <w:ind w:left="227" w:hanging="227"/>
      </w:pPr>
      <w:r>
        <w:t>□ 用真实代码地址替换占位，并检查仓库说明与论文版本一致。</w:t>
      </w:r>
    </w:p>
    <w:p>
      <w:pPr>
        <w:ind w:left="227" w:hanging="227"/>
      </w:pPr>
      <w:r>
        <w:t>□ 清理全部教学便条、占位符、参考示范图和未完成英文。</w:t>
      </w:r>
    </w:p>
    <w:p>
      <w:pPr>
        <w:ind w:left="227" w:hanging="227"/>
      </w:pPr>
      <w:r>
        <w:t>□ 检查英文标点、空格、字体、符号和标题层级。</w:t>
      </w:r>
    </w:p>
    <w:p>
      <w:pPr>
        <w:ind w:left="227" w:hanging="227"/>
      </w:pPr>
      <w:r>
        <w:t>□ 用目标模板导出完整文稿，逐页检查图表、公式和分页。</w:t>
      </w:r>
    </w:p>
    <w:p>
      <w:r>
        <w:t>阶段验收：文档中不再留课堂修改痕迹；正文引用和文献表一一对应；图表、实验与文字使用同一个论文版本。</w:t>
      </w:r>
    </w:p>
    <w:p>
      <w:pPr>
        <w:pStyle w:val="Heading2"/>
      </w:pPr>
      <w:r>
        <w:t>持续研究任务</w:t>
      </w:r>
    </w:p>
    <w:p>
      <w:pPr>
        <w:ind w:left="227" w:hanging="227"/>
      </w:pPr>
      <w:r>
        <w:t>□ 建立融合或架构候选的记录表：动机、改动、实验设置、结果、代价、结论。</w:t>
      </w:r>
    </w:p>
    <w:p>
      <w:pPr>
        <w:ind w:left="227" w:hanging="227"/>
      </w:pPr>
      <w:r>
        <w:t>□ 对新方案采用与固定融合可比的验证方式。</w:t>
      </w:r>
    </w:p>
    <w:p>
      <w:pPr>
        <w:ind w:left="227" w:hanging="227"/>
      </w:pPr>
      <w:r>
        <w:t>□ 与老师确认哪些候选足以构成主贡献、哪些适合作为对照或设计分析。</w:t>
      </w:r>
    </w:p>
    <w:p>
      <w:pPr>
        <w:ind w:left="227" w:hanging="227"/>
      </w:pPr>
      <w:r>
        <w:t>□ 确定下一轮交付时间和投稿方向，再进一步套用具体规范。</w:t>
      </w:r>
    </w:p>
    <w:p>
      <w:pPr>
        <w:pStyle w:val="Heading1"/>
      </w:pPr>
      <w:r>
        <w:t>十三 课堂时间索引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257"/>
      </w:tblGrid>
      <w:tr>
        <w:trPr>
          <w:cantSplit/>
          <w:tblHeader/>
        </w:trPr>
        <w:tc>
          <w:tcPr>
            <w:tcW w:type="dxa" w:w="2268"/>
            <w:vAlign w:val="center"/>
            <w:shd w:fill="E3EB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录制位置</w:t>
            </w:r>
          </w:p>
        </w:tc>
        <w:tc>
          <w:tcPr>
            <w:tcW w:type="dxa" w:w="7257"/>
            <w:vAlign w:val="center"/>
            <w:shd w:fill="E3EB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01:49—04:26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开场、确认PPT与Word版本、开始检查主图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04:26—08:47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图中文字、留白、双栏跨栏与图文摘要的重要性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08:47—13:06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图文位置、就近引用、图内变量与正文数学字体统一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13:06—18:16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DCFnet命名、摘要缩写、全称解释和摘要长度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18:31—21:44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关键词、calibrated fusion与normal memory bank的定位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21:44—23:47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避免只描述现成方法堆叠，说明模块任务与设计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23:47—28:33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引用位置、新文献比例、数据集描述移到实验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28:33—34:22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对比新方法、消融、指标、数据集、硬件与自洽性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34:22—38:53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引言引用具体位置、与相关工作的内容分工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39:22—45:16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标量、集合、矩阵、向量的强调与统一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45:16—48:24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实验结果移位、贡献列表写框架和模块策略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49:12—54:17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相关工作用词、具体论文案例、不能仅补作者姓名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54:17—01:04:45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代码链接、相关工作总结归属、总分总与本文联系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01:04:52—01:07:48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公式编号、补充数学细节、主图与子图分工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01:07:48—01:17:17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PPT主图问题、参考图配色、箭头、两层及蛇形布局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01:17:32—01:22:05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3.7模型配置、连接参数、结果分析和性能对比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01:22:05—01:27:06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复查文献年份、DOI和题名风格、实验引用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01:27:20—01:29:28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结论、辅助图、GitHub和课后修改任务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01:29:28—01:31:04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69" w:lineRule="auto"/>
            </w:pPr>
            <w:r>
              <w:rPr>
                <w:b w:val="0"/>
                <w:sz w:val="18"/>
              </w:rPr>
              <w:t>十几版融合试验效果不佳的讨论、继续创新、结束</w:t>
            </w:r>
          </w:p>
        </w:tc>
      </w:tr>
    </w:tbl>
    <w:p>
      <w:pPr>
        <w:spacing w:after="40"/>
      </w:pPr>
    </w:p>
    <w:p>
      <w:pPr>
        <w:pStyle w:val="Heading1"/>
      </w:pPr>
      <w:r>
        <w:t>十四 下一次讨论前应带上的材料</w:t>
      </w:r>
    </w:p>
    <w:p>
      <w:r>
        <w:t>建议形成一份可让老师直接审阅的材料包：修改后的英文Word；可编辑主图及模块图；贡献与证据对照；模型配置与实验设计；主要结果、消融及代价分析；统一后的参考文献；融合候选探索记录。每份材料标注版本和日期，避免PPT、Word、代码和实验表属于不同方案。</w:t>
      </w:r>
    </w:p>
    <w:p>
      <w:r>
        <w:t>需要下一轮明确的问题集中在三项：当前固定融合能支撑到什么程度的论文贡献；新增模块具体解决哪个问题且需要什么证据；最终投稿方向与交付时间。其余已明确的写作、图表、公式和配置任务可以先推进。</w:t>
      </w:r>
    </w:p>
    <w:sectPr w:rsidR="00FC693F" w:rsidRPr="0006063C" w:rsidSect="00034616">
      <w:footerReference w:type="default" r:id="rId10"/>
      <w:pgSz w:w="11906" w:h="16838"/>
      <w:pgMar w:top="1134" w:right="1191" w:bottom="1134" w:left="119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60" w:line="283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83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83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83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83" w:lineRule="auto"/>
      <w:contextualSpacing/>
    </w:pPr>
    <w:rPr>
      <w:rFonts w:ascii="Calibri" w:hAnsi="Calibri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 w:line="283" w:lineRule="auto"/>
      <w:contextualSpacing/>
    </w:pPr>
    <w:rPr>
      <w:rFonts w:ascii="Calibri" w:hAnsi="Calibri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eting.tencent.com/crm/2O84onE064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20260905 SCI论文辅导详细整理与修改清单</dc:title>
  <dc:subject>DCFnet课堂要求 文档改动 时间索引 执行清单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