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769A65B2" w:rsidR="00FE6B17" w:rsidRDefault="00045CC3" w:rsidP="00790FF7">
            <w:pPr>
              <w:rPr>
                <w:rFonts w:ascii="Verdana" w:eastAsia="Verdana" w:hAnsi="Verdana" w:cs="Verdana"/>
                <w:sz w:val="18"/>
                <w:szCs w:val="18"/>
              </w:rPr>
            </w:pPr>
            <w:r>
              <w:rPr>
                <w:rFonts w:ascii="Verdana" w:eastAsia="Verdana" w:hAnsi="Verdana" w:cs="Verdana"/>
                <w:sz w:val="18"/>
                <w:szCs w:val="18"/>
              </w:rPr>
              <w:t xml:space="preserve">January </w:t>
            </w:r>
            <w:r w:rsidR="004A6E52">
              <w:rPr>
                <w:rFonts w:ascii="Verdana" w:eastAsia="Verdana" w:hAnsi="Verdana" w:cs="Verdana"/>
                <w:sz w:val="18"/>
                <w:szCs w:val="18"/>
              </w:rPr>
              <w:t>30</w:t>
            </w:r>
            <w:r w:rsidR="000C160E">
              <w:rPr>
                <w:rFonts w:ascii="Verdana" w:eastAsia="Verdana" w:hAnsi="Verdana" w:cs="Verdana"/>
                <w:sz w:val="18"/>
                <w:szCs w:val="18"/>
              </w:rPr>
              <w:t>, 202</w:t>
            </w:r>
            <w:r>
              <w:rPr>
                <w:rFonts w:ascii="Verdana" w:eastAsia="Verdana" w:hAnsi="Verdana" w:cs="Verdana"/>
                <w:sz w:val="18"/>
                <w:szCs w:val="18"/>
              </w:rPr>
              <w:t>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12439DCE"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2D032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EF662F">
              <w:rPr>
                <w:rFonts w:ascii="Verdana" w:eastAsia="Verdana" w:hAnsi="Verdana" w:cs="Verdana"/>
                <w:color w:val="808080"/>
                <w:sz w:val="18"/>
                <w:szCs w:val="18"/>
              </w:rPr>
              <w:t>0</w:t>
            </w:r>
            <w:r w:rsidR="00F7021D">
              <w:rPr>
                <w:rFonts w:ascii="Verdana" w:eastAsia="Verdana" w:hAnsi="Verdana" w:cs="Verdana"/>
                <w:color w:val="808080"/>
                <w:sz w:val="18"/>
                <w:szCs w:val="18"/>
              </w:rPr>
              <w:t>2</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7BB0CBDE" w:rsidR="00FE6B17" w:rsidRDefault="002D4147" w:rsidP="00231E3E">
            <w:pPr>
              <w:rPr>
                <w:rFonts w:ascii="Verdana" w:eastAsia="Verdana" w:hAnsi="Verdana" w:cs="Verdana"/>
                <w:sz w:val="18"/>
                <w:szCs w:val="18"/>
              </w:rPr>
            </w:pPr>
            <w:r>
              <w:rPr>
                <w:rFonts w:ascii="Verdana" w:eastAsia="Verdana" w:hAnsi="Verdana" w:cs="Verdana"/>
                <w:sz w:val="18"/>
                <w:szCs w:val="18"/>
              </w:rPr>
              <w:t>Tuesday</w:t>
            </w:r>
            <w:r w:rsidR="00EF662F">
              <w:rPr>
                <w:rFonts w:ascii="Verdana" w:eastAsia="Verdana" w:hAnsi="Verdana" w:cs="Verdana"/>
                <w:sz w:val="18"/>
                <w:szCs w:val="18"/>
              </w:rPr>
              <w:t xml:space="preserve">, </w:t>
            </w:r>
            <w:r w:rsidR="00045CC3">
              <w:rPr>
                <w:rFonts w:ascii="Verdana" w:eastAsia="Verdana" w:hAnsi="Verdana" w:cs="Verdana"/>
                <w:sz w:val="18"/>
                <w:szCs w:val="18"/>
              </w:rPr>
              <w:t>February</w:t>
            </w:r>
            <w:r w:rsidR="000C160E">
              <w:rPr>
                <w:rFonts w:ascii="Verdana" w:eastAsia="Verdana" w:hAnsi="Verdana" w:cs="Verdana"/>
                <w:sz w:val="18"/>
                <w:szCs w:val="18"/>
              </w:rPr>
              <w:t xml:space="preserve"> </w:t>
            </w:r>
            <w:r w:rsidR="00FB6755">
              <w:rPr>
                <w:rFonts w:ascii="Verdana" w:eastAsia="Verdana" w:hAnsi="Verdana" w:cs="Verdana"/>
                <w:sz w:val="18"/>
                <w:szCs w:val="18"/>
              </w:rPr>
              <w:t>2</w:t>
            </w:r>
            <w:r>
              <w:rPr>
                <w:rFonts w:ascii="Verdana" w:eastAsia="Verdana" w:hAnsi="Verdana" w:cs="Verdana"/>
                <w:sz w:val="18"/>
                <w:szCs w:val="18"/>
              </w:rPr>
              <w:t>0</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16236295" w14:textId="5BB0F5B1" w:rsidR="00F7021D" w:rsidRPr="00F7021D" w:rsidRDefault="00236E54" w:rsidP="00F7021D">
            <w:pPr>
              <w:rPr>
                <w:rFonts w:ascii="Segoe UI" w:eastAsia="Times New Roman" w:hAnsi="Segoe UI" w:cs="Segoe UI"/>
                <w:sz w:val="21"/>
                <w:szCs w:val="21"/>
              </w:rPr>
            </w:pPr>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1.0.</w:t>
            </w:r>
            <w:r w:rsidR="00C354A8">
              <w:rPr>
                <w:rFonts w:ascii="Verdana" w:eastAsia="Verdana" w:hAnsi="Verdana" w:cs="Verdana"/>
                <w:color w:val="000000"/>
                <w:sz w:val="18"/>
                <w:szCs w:val="18"/>
              </w:rPr>
              <w:t>399</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contains </w:t>
            </w:r>
            <w:r w:rsidR="00974CB2">
              <w:rPr>
                <w:rFonts w:ascii="Segoe UI" w:eastAsia="Times New Roman" w:hAnsi="Segoe UI" w:cs="Segoe UI"/>
                <w:sz w:val="21"/>
                <w:szCs w:val="21"/>
              </w:rPr>
              <w:t>updates to LCMS data, and minor bug fixes.</w:t>
            </w:r>
          </w:p>
          <w:p w14:paraId="09469E6A" w14:textId="6689A6FF" w:rsidR="00FE6B17" w:rsidRPr="00790FF7" w:rsidRDefault="00FE6B17" w:rsidP="004D0500"/>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 xml:space="preserve">IIS </w:t>
            </w:r>
            <w:proofErr w:type="gramStart"/>
            <w:r>
              <w:rPr>
                <w:rFonts w:ascii="Verdana" w:eastAsia="Verdana" w:hAnsi="Verdana" w:cs="Verdana"/>
                <w:color w:val="000000"/>
                <w:sz w:val="18"/>
                <w:szCs w:val="18"/>
              </w:rPr>
              <w:t>installed</w:t>
            </w:r>
            <w:proofErr w:type="gramEnd"/>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41F80B24" w:rsidR="00D70E6B" w:rsidRDefault="00000000">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hyperlink r:id="rId14" w:history="1">
              <w:r w:rsidR="00ED686C" w:rsidRPr="00ED686C">
                <w:rPr>
                  <w:rStyle w:val="Hyperlink"/>
                </w:rPr>
                <w:t>https://artifactory.fdc.fs.usda.gov/artifactory/application-release-local/gov/usda/fs/busops/GTAC/lcms-viewer/lcms-viewer.1.0.</w:t>
              </w:r>
              <w:r w:rsidR="00C354A8">
                <w:rPr>
                  <w:rStyle w:val="Hyperlink"/>
                </w:rPr>
                <w:t>399</w:t>
              </w:r>
              <w:r w:rsidR="00ED686C" w:rsidRPr="00ED686C">
                <w:rPr>
                  <w:rStyle w:val="Hyperlink"/>
                </w:rPr>
                <w:t>.zip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Create a </w:t>
      </w:r>
      <w:proofErr w:type="gramStart"/>
      <w:r>
        <w:rPr>
          <w:rFonts w:ascii="Verdana" w:eastAsia="Verdana" w:hAnsi="Verdana" w:cs="Verdana"/>
          <w:color w:val="000000"/>
          <w:sz w:val="18"/>
          <w:szCs w:val="18"/>
        </w:rPr>
        <w:t>backup</w:t>
      </w:r>
      <w:proofErr w:type="gramEnd"/>
    </w:p>
    <w:p w14:paraId="34D6812E" w14:textId="0F03B127"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-bak already exists, delete </w:t>
      </w:r>
      <w:proofErr w:type="gramStart"/>
      <w:r>
        <w:rPr>
          <w:rFonts w:ascii="Verdana" w:eastAsia="Verdana" w:hAnsi="Verdana" w:cs="Verdana"/>
          <w:sz w:val="18"/>
          <w:szCs w:val="18"/>
        </w:rPr>
        <w:t>it</w:t>
      </w:r>
      <w:proofErr w:type="gramEnd"/>
    </w:p>
    <w:p w14:paraId="242698A1" w14:textId="0C237F63"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E:\inetpub\wwwroot</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proofErr w:type="gramStart"/>
      <w:r>
        <w:rPr>
          <w:rFonts w:ascii="Verdana" w:eastAsia="Verdana" w:hAnsi="Verdana" w:cs="Verdana"/>
          <w:sz w:val="18"/>
          <w:szCs w:val="18"/>
        </w:rPr>
        <w:t>bak</w:t>
      </w:r>
      <w:proofErr w:type="spellEnd"/>
      <w:proofErr w:type="gram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Download the new source </w:t>
      </w:r>
      <w:proofErr w:type="gramStart"/>
      <w:r>
        <w:rPr>
          <w:rFonts w:ascii="Verdana" w:eastAsia="Verdana" w:hAnsi="Verdana" w:cs="Verdana"/>
          <w:sz w:val="18"/>
          <w:szCs w:val="18"/>
        </w:rPr>
        <w:t>code</w:t>
      </w:r>
      <w:proofErr w:type="gramEnd"/>
    </w:p>
    <w:p w14:paraId="77BA26EF" w14:textId="5F787334"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 xml:space="preserve">Create a new empty folder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Ctrl-N to open a new script </w:t>
      </w:r>
      <w:proofErr w:type="gramStart"/>
      <w:r>
        <w:rPr>
          <w:rFonts w:ascii="Verdana" w:eastAsia="Verdana" w:hAnsi="Verdana" w:cs="Verdana"/>
          <w:sz w:val="18"/>
          <w:szCs w:val="18"/>
        </w:rPr>
        <w:t>editor</w:t>
      </w:r>
      <w:proofErr w:type="gramEnd"/>
    </w:p>
    <w:p w14:paraId="662506C1" w14:textId="485FA0F9"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https://artifactory.fdc.fs.usda.gov/artifactory/application-release-local/gov/usda/fs/busops/GTAC/lcms-viewer/lcms-viewer.1.0.</w:t>
      </w:r>
      <w:r w:rsidR="00C354A8">
        <w:rPr>
          <w:rFonts w:ascii="Verdana" w:eastAsia="Verdana" w:hAnsi="Verdana" w:cs="Verdana"/>
          <w:b/>
          <w:bCs/>
          <w:color w:val="000000"/>
          <w:sz w:val="16"/>
          <w:szCs w:val="16"/>
        </w:rPr>
        <w:t>399</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39A863F5"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"E:\inetpub\wwwroot\lcms-viewer.1.0.</w:t>
      </w:r>
      <w:r w:rsidR="00C354A8">
        <w:rPr>
          <w:rFonts w:ascii="Verdana" w:eastAsia="Verdana" w:hAnsi="Verdana" w:cs="Verdana"/>
          <w:b/>
          <w:bCs/>
          <w:color w:val="000000"/>
          <w:sz w:val="16"/>
          <w:szCs w:val="16"/>
        </w:rPr>
        <w:t>399</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w:t>
      </w:r>
      <w:proofErr w:type="gramStart"/>
      <w:r w:rsidRPr="00313782">
        <w:rPr>
          <w:rFonts w:ascii="Verdana" w:eastAsia="Verdana" w:hAnsi="Verdana" w:cs="Verdana"/>
          <w:b/>
          <w:bCs/>
          <w:color w:val="000000"/>
          <w:sz w:val="16"/>
          <w:szCs w:val="16"/>
        </w:rPr>
        <w:t>output</w:t>
      </w:r>
      <w:proofErr w:type="gramEnd"/>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579A754F"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proofErr w:type="gramStart"/>
      <w:r w:rsidRPr="00267DCB">
        <w:rPr>
          <w:rFonts w:ascii="Verdana" w:eastAsia="Verdana" w:hAnsi="Verdana" w:cs="Verdana"/>
          <w:sz w:val="18"/>
          <w:szCs w:val="18"/>
        </w:rPr>
        <w:t>E:\inetpub\wwwroot\</w:t>
      </w:r>
      <w:proofErr w:type="gramEnd"/>
    </w:p>
    <w:p w14:paraId="050B359A" w14:textId="5F05E6C6"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Extract the zip file to </w:t>
      </w:r>
      <w:proofErr w:type="gramStart"/>
      <w:r>
        <w:rPr>
          <w:rFonts w:ascii="Verdana" w:eastAsia="Verdana" w:hAnsi="Verdana" w:cs="Verdana"/>
          <w:sz w:val="18"/>
          <w:szCs w:val="18"/>
        </w:rPr>
        <w:t>E:\inetpub\wwwroot\</w:t>
      </w:r>
      <w:r w:rsidR="0030450C">
        <w:rPr>
          <w:rFonts w:ascii="Verdana" w:eastAsia="Verdana" w:hAnsi="Verdana" w:cs="Verdana"/>
          <w:sz w:val="18"/>
          <w:szCs w:val="18"/>
        </w:rPr>
        <w:t>lcms-viewer\</w:t>
      </w:r>
      <w:proofErr w:type="gramEnd"/>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586BF38B"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Delete the folder </w:t>
      </w:r>
      <w:proofErr w:type="gramStart"/>
      <w:r>
        <w:rPr>
          <w:rFonts w:ascii="Verdana" w:eastAsia="Verdana" w:hAnsi="Verdana" w:cs="Verdana"/>
          <w:color w:val="000000"/>
          <w:sz w:val="18"/>
          <w:szCs w:val="18"/>
        </w:rPr>
        <w:t>E:\inetpub\wwwroot</w:t>
      </w:r>
      <w:r w:rsidR="00322418">
        <w:rPr>
          <w:rFonts w:ascii="Verdana" w:eastAsia="Verdana" w:hAnsi="Verdana" w:cs="Verdana"/>
          <w:color w:val="000000"/>
          <w:sz w:val="18"/>
          <w:szCs w:val="18"/>
        </w:rPr>
        <w:t>\lcms-viewer</w:t>
      </w:r>
      <w:proofErr w:type="gramEnd"/>
      <w:r>
        <w:rPr>
          <w:rFonts w:ascii="Verdana" w:eastAsia="Verdana" w:hAnsi="Verdana" w:cs="Verdana"/>
          <w:color w:val="000000"/>
          <w:sz w:val="18"/>
          <w:szCs w:val="18"/>
        </w:rPr>
        <w:t xml:space="preserve"> </w:t>
      </w:r>
    </w:p>
    <w:p w14:paraId="0C16EF70" w14:textId="48EB97C1"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E:\inetpub\wwwroot</w:t>
      </w:r>
      <w:r w:rsidR="00322418">
        <w:rPr>
          <w:rFonts w:ascii="Verdana" w:eastAsia="Verdana" w:hAnsi="Verdana" w:cs="Verdana"/>
          <w:sz w:val="18"/>
          <w:szCs w:val="18"/>
        </w:rPr>
        <w:t>\lcms-viewer</w:t>
      </w:r>
    </w:p>
    <w:p w14:paraId="1129A3A7" w14:textId="0577FDA9" w:rsidR="00107802" w:rsidRPr="00107802" w:rsidRDefault="00107802" w:rsidP="00107802"/>
    <w:p w14:paraId="674AF484" w14:textId="419347AA" w:rsidR="00107802" w:rsidRPr="00107802" w:rsidRDefault="00107802" w:rsidP="00107802">
      <w:pPr>
        <w:tabs>
          <w:tab w:val="left" w:pos="2175"/>
        </w:tabs>
      </w:pPr>
      <w:r>
        <w:tab/>
      </w: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130FA" w14:textId="77777777" w:rsidR="006E1623" w:rsidRDefault="006E1623">
      <w:pPr>
        <w:spacing w:after="0" w:line="240" w:lineRule="auto"/>
      </w:pPr>
      <w:r>
        <w:separator/>
      </w:r>
    </w:p>
  </w:endnote>
  <w:endnote w:type="continuationSeparator" w:id="0">
    <w:p w14:paraId="7D89ED65" w14:textId="77777777" w:rsidR="006E1623" w:rsidRDefault="006E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2ABA" w14:textId="77777777" w:rsidR="006E1623" w:rsidRDefault="006E1623">
      <w:pPr>
        <w:spacing w:after="0" w:line="240" w:lineRule="auto"/>
      </w:pPr>
      <w:r>
        <w:separator/>
      </w:r>
    </w:p>
  </w:footnote>
  <w:footnote w:type="continuationSeparator" w:id="0">
    <w:p w14:paraId="0433D9F5" w14:textId="77777777" w:rsidR="006E1623" w:rsidRDefault="006E1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C160E"/>
    <w:rsid w:val="000D2DC7"/>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3782"/>
    <w:rsid w:val="00315595"/>
    <w:rsid w:val="00322418"/>
    <w:rsid w:val="00334A27"/>
    <w:rsid w:val="00336031"/>
    <w:rsid w:val="00336A65"/>
    <w:rsid w:val="00341618"/>
    <w:rsid w:val="00370B41"/>
    <w:rsid w:val="003A171C"/>
    <w:rsid w:val="003A5982"/>
    <w:rsid w:val="003C1857"/>
    <w:rsid w:val="004217D5"/>
    <w:rsid w:val="004555C8"/>
    <w:rsid w:val="00472CA5"/>
    <w:rsid w:val="004A6E52"/>
    <w:rsid w:val="004D0500"/>
    <w:rsid w:val="004F6490"/>
    <w:rsid w:val="0051637B"/>
    <w:rsid w:val="005B3FFB"/>
    <w:rsid w:val="005C1B8D"/>
    <w:rsid w:val="005C55C7"/>
    <w:rsid w:val="005F27E8"/>
    <w:rsid w:val="005F4F2D"/>
    <w:rsid w:val="00623F38"/>
    <w:rsid w:val="00655E11"/>
    <w:rsid w:val="006D2712"/>
    <w:rsid w:val="006E1623"/>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F179C"/>
    <w:rsid w:val="007F47A9"/>
    <w:rsid w:val="008324AF"/>
    <w:rsid w:val="0083560A"/>
    <w:rsid w:val="0085028E"/>
    <w:rsid w:val="00851751"/>
    <w:rsid w:val="00884232"/>
    <w:rsid w:val="008904F1"/>
    <w:rsid w:val="008C4818"/>
    <w:rsid w:val="008D4567"/>
    <w:rsid w:val="008F0001"/>
    <w:rsid w:val="0090661E"/>
    <w:rsid w:val="00932BBA"/>
    <w:rsid w:val="00932C5F"/>
    <w:rsid w:val="009516A7"/>
    <w:rsid w:val="009717D1"/>
    <w:rsid w:val="00974CB2"/>
    <w:rsid w:val="009B65DE"/>
    <w:rsid w:val="009B673D"/>
    <w:rsid w:val="009E7EF2"/>
    <w:rsid w:val="00A4515E"/>
    <w:rsid w:val="00A45517"/>
    <w:rsid w:val="00A54E1F"/>
    <w:rsid w:val="00A6281C"/>
    <w:rsid w:val="00AB455A"/>
    <w:rsid w:val="00AD00E9"/>
    <w:rsid w:val="00B21990"/>
    <w:rsid w:val="00B26C94"/>
    <w:rsid w:val="00B50C11"/>
    <w:rsid w:val="00B77256"/>
    <w:rsid w:val="00B95825"/>
    <w:rsid w:val="00BA1C5B"/>
    <w:rsid w:val="00BA72A8"/>
    <w:rsid w:val="00BE1591"/>
    <w:rsid w:val="00C06BAF"/>
    <w:rsid w:val="00C20E1C"/>
    <w:rsid w:val="00C354A8"/>
    <w:rsid w:val="00C85E36"/>
    <w:rsid w:val="00C97E8A"/>
    <w:rsid w:val="00CD5C9B"/>
    <w:rsid w:val="00D02476"/>
    <w:rsid w:val="00D2025A"/>
    <w:rsid w:val="00D21718"/>
    <w:rsid w:val="00D24A5A"/>
    <w:rsid w:val="00D316C3"/>
    <w:rsid w:val="00D54CFE"/>
    <w:rsid w:val="00D62C58"/>
    <w:rsid w:val="00D63A04"/>
    <w:rsid w:val="00D70E6B"/>
    <w:rsid w:val="00D91479"/>
    <w:rsid w:val="00E07478"/>
    <w:rsid w:val="00E7358B"/>
    <w:rsid w:val="00E901F5"/>
    <w:rsid w:val="00EA0180"/>
    <w:rsid w:val="00EA1464"/>
    <w:rsid w:val="00EC3AC0"/>
    <w:rsid w:val="00ED686C"/>
    <w:rsid w:val="00EE52F7"/>
    <w:rsid w:val="00EF07B1"/>
    <w:rsid w:val="00EF3408"/>
    <w:rsid w:val="00EF662F"/>
    <w:rsid w:val="00F646AD"/>
    <w:rsid w:val="00F7021D"/>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396.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10</cp:revision>
  <dcterms:created xsi:type="dcterms:W3CDTF">2023-09-22T18:14:00Z</dcterms:created>
  <dcterms:modified xsi:type="dcterms:W3CDTF">2024-02-02T12:49:00Z</dcterms:modified>
</cp:coreProperties>
</file>