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6A6E9" w14:textId="77777777" w:rsidR="00A20880" w:rsidRDefault="00A20880"/>
    <w:p>
      <w:pPr>
        <w:pStyle w:val="Title"/>
        <w:jc w:val="center"/>
      </w:pPr>
      <w:r>
        <w:t>La Calisto Sdn Bhd – Corporate Service Report</w:t>
      </w:r>
    </w:p>
    <w:p>
      <w:pPr>
        <w:pStyle w:val="Subtitle"/>
        <w:jc w:val="center"/>
      </w:pPr>
      <w:r>
        <w:t>Comprehensive Overview of Service Categories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La Calisto Sdn Bhd operates as a diversified entity within Malaysia’s optical, retail, and corporate service sectors. This report outlines the company’s core service categories, strategic strengths, and integrated value proposition in a polished corporate format.</w:t>
      </w:r>
    </w:p>
    <w:p>
      <w:pPr>
        <w:pStyle w:val="Heading1"/>
      </w:pPr>
      <w:r>
        <w:t>Core Service Categories</w:t>
      </w:r>
    </w:p>
    <w:p>
      <w:pPr>
        <w:pStyle w:val="Heading2"/>
      </w:pPr>
      <w:r>
        <w:t>Boutique Eyewear Retailing</w:t>
      </w:r>
    </w:p>
    <w:p>
      <w:r>
        <w:t>La Calisto operates boutique‑style eyewear outlets featuring curated designer collections and personalized styling support.</w:t>
      </w:r>
    </w:p>
    <w:p>
      <w:pPr>
        <w:pStyle w:val="Heading2"/>
      </w:pPr>
      <w:r>
        <w:t>Professional Optometry Services</w:t>
      </w:r>
    </w:p>
    <w:p>
      <w:r>
        <w:t>Certified optometrists provide comprehensive eye examinations, accurate diagnostics, and professional vision assessments.</w:t>
      </w:r>
    </w:p>
    <w:p>
      <w:pPr>
        <w:pStyle w:val="Heading2"/>
      </w:pPr>
      <w:r>
        <w:t>Corporate Advisory &amp; Event Management</w:t>
      </w:r>
    </w:p>
    <w:p>
      <w:r>
        <w:t>The company offers planning, coordination, and consultancy services for government and private-sector events.</w:t>
      </w:r>
    </w:p>
    <w:p>
      <w:pPr>
        <w:pStyle w:val="Heading2"/>
      </w:pPr>
      <w:r>
        <w:t>Digital Commerce &amp; Omni‑Channel Integration</w:t>
      </w:r>
    </w:p>
    <w:p>
      <w:r>
        <w:t>La Calisto integrates online retail with physical stores, enabling seamless browsing, purchasing, and fulfilment.</w:t>
      </w:r>
    </w:p>
    <w:p>
      <w:pPr>
        <w:pStyle w:val="Heading2"/>
      </w:pPr>
      <w:r>
        <w:t>Corporate Management &amp; Subsidiary Oversight</w:t>
      </w:r>
    </w:p>
    <w:p>
      <w:r>
        <w:t>As a holding entity, the company manages brand strategy, operational frameworks, and long-term growth initiatives.</w:t>
      </w:r>
    </w:p>
    <w:p>
      <w:pPr>
        <w:pStyle w:val="Heading1"/>
      </w:pPr>
      <w:r>
        <w:t>Strategic Value Proposition</w:t>
      </w:r>
    </w:p>
    <w:p>
      <w:r>
        <w:t>La Calisto’s integrated service model strengthens its competitive position by combining retail excellence, clinical expertise, and corporate consultancy capabilities. The omni-channel architecture enhances customer experience and ensures consistency across service platforms.</w:t>
      </w:r>
    </w:p>
    <w:p>
      <w:pPr>
        <w:pStyle w:val="Heading1"/>
      </w:pPr>
      <w:r>
        <w:t>Conclusion</w:t>
      </w:r>
    </w:p>
    <w:p>
      <w:r>
        <w:t>This report highlights La Calisto Sdn Bhd’s diverse operational strengths. Through boutique retailing, professional optometry, event consultancy, digital commerce, and corporate management, the company maintains a robust and adaptable business structure that supports sustained growth and service excellence.</w:t>
      </w:r>
    </w:p>
    <w:sectPr w:rsidR="00A208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E51AB"/>
    <w:rsid w:val="00324B44"/>
    <w:rsid w:val="0036562D"/>
    <w:rsid w:val="004976E0"/>
    <w:rsid w:val="005A534A"/>
    <w:rsid w:val="00827C87"/>
    <w:rsid w:val="00A20880"/>
    <w:rsid w:val="00A352C8"/>
    <w:rsid w:val="00B41C2B"/>
    <w:rsid w:val="00C26D93"/>
    <w:rsid w:val="00C27141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799C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/>
  <cp:revision>2</cp:revision>
  <dcterms:created xsi:type="dcterms:W3CDTF">2025-06-25T20:44:00Z</dcterms:created>
  <dcterms:modified xsi:type="dcterms:W3CDTF">2025-11-04T19:30:00Z</dcterms:modified>
</cp:coreProperties>
</file>