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D78"/>
          <w:sz w:val="44"/>
        </w:rPr>
        <w:t>Why AI Governance Must Be Enforced, Not Assumed</w:t>
      </w:r>
    </w:p>
    <w:p>
      <w:pPr>
        <w:spacing w:after="140"/>
      </w:pPr>
      <w:r>
        <w:rPr>
          <w:color w:val="555F69"/>
          <w:sz w:val="20"/>
        </w:rPr>
        <w:t>Enterprise Brief for CISO, Compliance, Risk, and AI Governance Leaders</w:t>
      </w:r>
    </w:p>
    <w:p>
      <w:pPr>
        <w:spacing w:after="160"/>
      </w:pPr>
      <w:r>
        <w:rPr>
          <w:color w:val="555F69"/>
          <w:sz w:val="18"/>
        </w:rPr>
        <w:t>LinkedIn Featured Asset #2</w:t>
      </w:r>
    </w:p>
    <w:p>
      <w:pPr>
        <w:spacing w:after="140"/>
        <w:pBdr>
          <w:bottom w:val="single" w:sz="8" w:space="1" w:color="D9E2EC"/>
        </w:pBdr>
      </w:pPr>
    </w:p>
    <w:p>
      <w:pPr>
        <w:pStyle w:val="Heading1"/>
      </w:pPr>
      <w:r>
        <w:t>Core Position</w:t>
      </w:r>
    </w:p>
    <w:p>
      <w:r>
        <w:t>AI governance is not established by policy documentation alone. A policy can define expectations, but it does not prove that an AI action was reviewed, authorized, traceable, or blocked when required evidence was missing.</w:t>
      </w:r>
    </w:p>
    <w:p>
      <w:r>
        <w:t>For enterprise use, governance must operate at runtime. The control environment should validate policy, approval state, provenance, and audit evidence before an AI-assisted action is allowed to proceed.</w:t>
      </w:r>
    </w:p>
    <w:p>
      <w:pPr>
        <w:pStyle w:val="Heading1"/>
      </w:pPr>
      <w:r>
        <w:t>What Runtime Enforcement Requires</w:t>
      </w:r>
    </w:p>
    <w:p>
      <w:r>
        <w:t>Runtime enforcement means governance controls are evaluated before execution, not reconstructed after the fact. The system must be able to determine whether required approvals exist, whether the correct policy version applies, whether evidence is complete, and whether the action should be allowed or denied.</w:t>
      </w:r>
    </w:p>
    <w:p>
      <w:r>
        <w:t>A governed AI workflow should treat missing validation as a failed validation. If approval, provenance, policy state, or audit evidence cannot be verified, the safe outcome is to block the action and preserve evidence of the denial.</w:t>
      </w:r>
    </w:p>
    <w:p>
      <w:pPr>
        <w:pStyle w:val="Heading1"/>
      </w:pPr>
      <w:r>
        <w:t>Minimum Control Expectations</w:t>
      </w:r>
    </w:p>
    <w:p>
      <w:pPr>
        <w:spacing w:after="100"/>
      </w:pPr>
      <w:r>
        <w:t>Each control below must produce evidence before execution or preserve a denial record when validation is incomplete.</w:t>
      </w:r>
    </w:p>
    <w:tbl>
      <w:tblPr>
        <w:tblStyle w:val="TableGrid"/>
        <w:tblW w:type="auto" w:w="0"/>
        <w:jc w:val="center"/>
        <w:tblLayout w:type="fixed"/>
        <w:tblLook w:firstColumn="1" w:firstRow="1" w:lastColumn="0" w:lastRow="0" w:noHBand="0" w:noVBand="1" w:val="04A0"/>
      </w:tblPr>
      <w:tblGrid>
        <w:gridCol w:w="4896"/>
        <w:gridCol w:w="4896"/>
      </w:tblGrid>
      <w:tr>
        <w:tc>
          <w:tcPr>
            <w:tcW w:type="dxa" w:w="2232"/>
            <w:vAlign w:val="center"/>
            <w:tcMar>
              <w:top w:w="90" w:type="dxa"/>
              <w:start w:w="120" w:type="dxa"/>
              <w:bottom w:w="90" w:type="dxa"/>
              <w:end w:w="120" w:type="dxa"/>
            </w:tcMar>
            <w:shd w:fill="1F4D78"/>
          </w:tcPr>
          <w:p>
            <w:r>
              <w:rPr>
                <w:b/>
                <w:color w:val="FFFFFF"/>
                <w:sz w:val="18"/>
              </w:rPr>
              <w:t>Control Area</w:t>
            </w:r>
          </w:p>
        </w:tc>
        <w:tc>
          <w:tcPr>
            <w:tcW w:type="dxa" w:w="7416"/>
            <w:vAlign w:val="center"/>
            <w:tcMar>
              <w:top w:w="90" w:type="dxa"/>
              <w:start w:w="120" w:type="dxa"/>
              <w:bottom w:w="90" w:type="dxa"/>
              <w:end w:w="120" w:type="dxa"/>
            </w:tcMar>
            <w:shd w:fill="1F4D78"/>
          </w:tcPr>
          <w:p>
            <w:r>
              <w:rPr>
                <w:b/>
                <w:color w:val="FFFFFF"/>
                <w:sz w:val="18"/>
              </w:rPr>
              <w:t>Human Oversight</w:t>
            </w:r>
          </w:p>
        </w:tc>
      </w:tr>
      <w:tr>
        <w:tc>
          <w:tcPr>
            <w:tcW w:type="dxa" w:w="2232"/>
            <w:vAlign w:val="center"/>
            <w:tcMar>
              <w:top w:w="90" w:type="dxa"/>
              <w:start w:w="120" w:type="dxa"/>
              <w:bottom w:w="90" w:type="dxa"/>
              <w:end w:w="120" w:type="dxa"/>
            </w:tcMar>
            <w:shd w:fill="F4F7FA"/>
          </w:tcPr>
          <w:p>
            <w:pPr>
              <w:spacing w:after="0"/>
            </w:pPr>
            <w:r>
              <w:rPr>
                <w:b/>
                <w:color w:val="14202C"/>
                <w:sz w:val="17"/>
              </w:rPr>
              <w:t>Enterprise Requirement</w:t>
            </w:r>
          </w:p>
        </w:tc>
        <w:tc>
          <w:tcPr>
            <w:tcW w:type="dxa" w:w="7416"/>
            <w:vAlign w:val="center"/>
            <w:tcMar>
              <w:top w:w="90" w:type="dxa"/>
              <w:start w:w="120" w:type="dxa"/>
              <w:bottom w:w="90" w:type="dxa"/>
              <w:end w:w="120" w:type="dxa"/>
            </w:tcMar>
          </w:tcPr>
          <w:p>
            <w:pPr>
              <w:spacing w:after="0"/>
            </w:pPr>
            <w:r>
              <w:rPr>
                <w:color w:val="14202C"/>
                <w:sz w:val="17"/>
              </w:rPr>
              <w:t>High-risk actions require explicit review before execution.</w:t>
            </w:r>
          </w:p>
        </w:tc>
      </w:tr>
      <w:tr>
        <w:tc>
          <w:tcPr>
            <w:tcW w:type="dxa" w:w="2232"/>
            <w:vAlign w:val="center"/>
            <w:tcMar>
              <w:top w:w="90" w:type="dxa"/>
              <w:start w:w="120" w:type="dxa"/>
              <w:bottom w:w="90" w:type="dxa"/>
              <w:end w:w="120" w:type="dxa"/>
            </w:tcMar>
            <w:shd w:fill="F4F7FA"/>
          </w:tcPr>
          <w:p>
            <w:pPr>
              <w:spacing w:after="0"/>
            </w:pPr>
            <w:r>
              <w:rPr>
                <w:b/>
                <w:color w:val="14202C"/>
                <w:sz w:val="17"/>
              </w:rPr>
              <w:t>Expected Evidence</w:t>
            </w:r>
          </w:p>
        </w:tc>
        <w:tc>
          <w:tcPr>
            <w:tcW w:type="dxa" w:w="7416"/>
            <w:vAlign w:val="center"/>
            <w:tcMar>
              <w:top w:w="90" w:type="dxa"/>
              <w:start w:w="120" w:type="dxa"/>
              <w:bottom w:w="90" w:type="dxa"/>
              <w:end w:w="120" w:type="dxa"/>
            </w:tcMar>
          </w:tcPr>
          <w:p>
            <w:pPr>
              <w:spacing w:after="0"/>
            </w:pPr>
            <w:r>
              <w:rPr>
                <w:color w:val="14202C"/>
                <w:sz w:val="17"/>
              </w:rPr>
              <w:t>Reviewer identity, decision, timestamp, and approval scope.</w:t>
            </w:r>
          </w:p>
        </w:tc>
      </w:tr>
    </w:tbl>
    <w:p>
      <w:pPr>
        <w:spacing w:after="20"/>
      </w:pPr>
    </w:p>
    <w:tbl>
      <w:tblPr>
        <w:tblStyle w:val="TableGrid"/>
        <w:tblW w:type="auto" w:w="0"/>
        <w:jc w:val="center"/>
        <w:tblLayout w:type="fixed"/>
        <w:tblLook w:firstColumn="1" w:firstRow="1" w:lastColumn="0" w:lastRow="0" w:noHBand="0" w:noVBand="1" w:val="04A0"/>
      </w:tblPr>
      <w:tblGrid>
        <w:gridCol w:w="4896"/>
        <w:gridCol w:w="4896"/>
      </w:tblGrid>
      <w:tr>
        <w:tc>
          <w:tcPr>
            <w:tcW w:type="dxa" w:w="2232"/>
            <w:vAlign w:val="center"/>
            <w:tcMar>
              <w:top w:w="90" w:type="dxa"/>
              <w:start w:w="120" w:type="dxa"/>
              <w:bottom w:w="90" w:type="dxa"/>
              <w:end w:w="120" w:type="dxa"/>
            </w:tcMar>
            <w:shd w:fill="1F4D78"/>
          </w:tcPr>
          <w:p>
            <w:r>
              <w:rPr>
                <w:b/>
                <w:color w:val="FFFFFF"/>
                <w:sz w:val="18"/>
              </w:rPr>
              <w:t>Control Area</w:t>
            </w:r>
          </w:p>
        </w:tc>
        <w:tc>
          <w:tcPr>
            <w:tcW w:type="dxa" w:w="7416"/>
            <w:vAlign w:val="center"/>
            <w:tcMar>
              <w:top w:w="90" w:type="dxa"/>
              <w:start w:w="120" w:type="dxa"/>
              <w:bottom w:w="90" w:type="dxa"/>
              <w:end w:w="120" w:type="dxa"/>
            </w:tcMar>
            <w:shd w:fill="1F4D78"/>
          </w:tcPr>
          <w:p>
            <w:r>
              <w:rPr>
                <w:b/>
                <w:color w:val="FFFFFF"/>
                <w:sz w:val="18"/>
              </w:rPr>
              <w:t>Audit Evidence</w:t>
            </w:r>
          </w:p>
        </w:tc>
      </w:tr>
      <w:tr>
        <w:tc>
          <w:tcPr>
            <w:tcW w:type="dxa" w:w="2232"/>
            <w:vAlign w:val="center"/>
            <w:tcMar>
              <w:top w:w="90" w:type="dxa"/>
              <w:start w:w="120" w:type="dxa"/>
              <w:bottom w:w="90" w:type="dxa"/>
              <w:end w:w="120" w:type="dxa"/>
            </w:tcMar>
            <w:shd w:fill="F4F7FA"/>
          </w:tcPr>
          <w:p>
            <w:pPr>
              <w:spacing w:after="0"/>
            </w:pPr>
            <w:r>
              <w:rPr>
                <w:b/>
                <w:color w:val="14202C"/>
                <w:sz w:val="17"/>
              </w:rPr>
              <w:t>Enterprise Requirement</w:t>
            </w:r>
          </w:p>
        </w:tc>
        <w:tc>
          <w:tcPr>
            <w:tcW w:type="dxa" w:w="7416"/>
            <w:vAlign w:val="center"/>
            <w:tcMar>
              <w:top w:w="90" w:type="dxa"/>
              <w:start w:w="120" w:type="dxa"/>
              <w:bottom w:w="90" w:type="dxa"/>
              <w:end w:w="120" w:type="dxa"/>
            </w:tcMar>
          </w:tcPr>
          <w:p>
            <w:pPr>
              <w:spacing w:after="0"/>
            </w:pPr>
            <w:r>
              <w:rPr>
                <w:color w:val="14202C"/>
                <w:sz w:val="17"/>
              </w:rPr>
              <w:t>Every allow or deny decision must be reconstructable.</w:t>
            </w:r>
          </w:p>
        </w:tc>
      </w:tr>
      <w:tr>
        <w:tc>
          <w:tcPr>
            <w:tcW w:type="dxa" w:w="2232"/>
            <w:vAlign w:val="center"/>
            <w:tcMar>
              <w:top w:w="90" w:type="dxa"/>
              <w:start w:w="120" w:type="dxa"/>
              <w:bottom w:w="90" w:type="dxa"/>
              <w:end w:w="120" w:type="dxa"/>
            </w:tcMar>
            <w:shd w:fill="F4F7FA"/>
          </w:tcPr>
          <w:p>
            <w:pPr>
              <w:spacing w:after="0"/>
            </w:pPr>
            <w:r>
              <w:rPr>
                <w:b/>
                <w:color w:val="14202C"/>
                <w:sz w:val="17"/>
              </w:rPr>
              <w:t>Expected Evidence</w:t>
            </w:r>
          </w:p>
        </w:tc>
        <w:tc>
          <w:tcPr>
            <w:tcW w:type="dxa" w:w="7416"/>
            <w:vAlign w:val="center"/>
            <w:tcMar>
              <w:top w:w="90" w:type="dxa"/>
              <w:start w:w="120" w:type="dxa"/>
              <w:bottom w:w="90" w:type="dxa"/>
              <w:end w:w="120" w:type="dxa"/>
            </w:tcMar>
          </w:tcPr>
          <w:p>
            <w:pPr>
              <w:spacing w:after="0"/>
            </w:pPr>
            <w:r>
              <w:rPr>
                <w:color w:val="14202C"/>
                <w:sz w:val="17"/>
              </w:rPr>
              <w:t>Actor, policy version, validation result, and execution outcome.</w:t>
            </w:r>
          </w:p>
        </w:tc>
      </w:tr>
    </w:tbl>
    <w:p>
      <w:pPr>
        <w:spacing w:after="20"/>
      </w:pPr>
    </w:p>
    <w:tbl>
      <w:tblPr>
        <w:tblStyle w:val="TableGrid"/>
        <w:tblW w:type="auto" w:w="0"/>
        <w:jc w:val="center"/>
        <w:tblLayout w:type="fixed"/>
        <w:tblLook w:firstColumn="1" w:firstRow="1" w:lastColumn="0" w:lastRow="0" w:noHBand="0" w:noVBand="1" w:val="04A0"/>
      </w:tblPr>
      <w:tblGrid>
        <w:gridCol w:w="4896"/>
        <w:gridCol w:w="4896"/>
      </w:tblGrid>
      <w:tr>
        <w:tc>
          <w:tcPr>
            <w:tcW w:type="dxa" w:w="2232"/>
            <w:vAlign w:val="center"/>
            <w:tcMar>
              <w:top w:w="90" w:type="dxa"/>
              <w:start w:w="120" w:type="dxa"/>
              <w:bottom w:w="90" w:type="dxa"/>
              <w:end w:w="120" w:type="dxa"/>
            </w:tcMar>
            <w:shd w:fill="1F4D78"/>
          </w:tcPr>
          <w:p>
            <w:r>
              <w:rPr>
                <w:b/>
                <w:color w:val="FFFFFF"/>
                <w:sz w:val="18"/>
              </w:rPr>
              <w:t>Control Area</w:t>
            </w:r>
          </w:p>
        </w:tc>
        <w:tc>
          <w:tcPr>
            <w:tcW w:type="dxa" w:w="7416"/>
            <w:vAlign w:val="center"/>
            <w:tcMar>
              <w:top w:w="90" w:type="dxa"/>
              <w:start w:w="120" w:type="dxa"/>
              <w:bottom w:w="90" w:type="dxa"/>
              <w:end w:w="120" w:type="dxa"/>
            </w:tcMar>
            <w:shd w:fill="1F4D78"/>
          </w:tcPr>
          <w:p>
            <w:r>
              <w:rPr>
                <w:b/>
                <w:color w:val="FFFFFF"/>
                <w:sz w:val="18"/>
              </w:rPr>
              <w:t>Provenance</w:t>
            </w:r>
          </w:p>
        </w:tc>
      </w:tr>
      <w:tr>
        <w:tc>
          <w:tcPr>
            <w:tcW w:type="dxa" w:w="2232"/>
            <w:vAlign w:val="center"/>
            <w:tcMar>
              <w:top w:w="90" w:type="dxa"/>
              <w:start w:w="120" w:type="dxa"/>
              <w:bottom w:w="90" w:type="dxa"/>
              <w:end w:w="120" w:type="dxa"/>
            </w:tcMar>
            <w:shd w:fill="F4F7FA"/>
          </w:tcPr>
          <w:p>
            <w:pPr>
              <w:spacing w:after="0"/>
            </w:pPr>
            <w:r>
              <w:rPr>
                <w:b/>
                <w:color w:val="14202C"/>
                <w:sz w:val="17"/>
              </w:rPr>
              <w:t>Enterprise Requirement</w:t>
            </w:r>
          </w:p>
        </w:tc>
        <w:tc>
          <w:tcPr>
            <w:tcW w:type="dxa" w:w="7416"/>
            <w:vAlign w:val="center"/>
            <w:tcMar>
              <w:top w:w="90" w:type="dxa"/>
              <w:start w:w="120" w:type="dxa"/>
              <w:bottom w:w="90" w:type="dxa"/>
              <w:end w:w="120" w:type="dxa"/>
            </w:tcMar>
          </w:tcPr>
          <w:p>
            <w:pPr>
              <w:spacing w:after="0"/>
            </w:pPr>
            <w:r>
              <w:rPr>
                <w:color w:val="14202C"/>
                <w:sz w:val="17"/>
              </w:rPr>
              <w:t>Inputs, model/workflow context, and decision path must remain traceable.</w:t>
            </w:r>
          </w:p>
        </w:tc>
      </w:tr>
      <w:tr>
        <w:tc>
          <w:tcPr>
            <w:tcW w:type="dxa" w:w="2232"/>
            <w:vAlign w:val="center"/>
            <w:tcMar>
              <w:top w:w="90" w:type="dxa"/>
              <w:start w:w="120" w:type="dxa"/>
              <w:bottom w:w="90" w:type="dxa"/>
              <w:end w:w="120" w:type="dxa"/>
            </w:tcMar>
            <w:shd w:fill="F4F7FA"/>
          </w:tcPr>
          <w:p>
            <w:pPr>
              <w:spacing w:after="0"/>
            </w:pPr>
            <w:r>
              <w:rPr>
                <w:b/>
                <w:color w:val="14202C"/>
                <w:sz w:val="17"/>
              </w:rPr>
              <w:t>Expected Evidence</w:t>
            </w:r>
          </w:p>
        </w:tc>
        <w:tc>
          <w:tcPr>
            <w:tcW w:type="dxa" w:w="7416"/>
            <w:vAlign w:val="center"/>
            <w:tcMar>
              <w:top w:w="90" w:type="dxa"/>
              <w:start w:w="120" w:type="dxa"/>
              <w:bottom w:w="90" w:type="dxa"/>
              <w:end w:w="120" w:type="dxa"/>
            </w:tcMar>
          </w:tcPr>
          <w:p>
            <w:pPr>
              <w:spacing w:after="0"/>
            </w:pPr>
            <w:r>
              <w:rPr>
                <w:color w:val="14202C"/>
                <w:sz w:val="17"/>
              </w:rPr>
              <w:t>Source references, workflow lineage, and evidence hashes where applicable.</w:t>
            </w:r>
          </w:p>
        </w:tc>
      </w:tr>
    </w:tbl>
    <w:p>
      <w:pPr>
        <w:spacing w:after="20"/>
      </w:pPr>
    </w:p>
    <w:tbl>
      <w:tblPr>
        <w:tblStyle w:val="TableGrid"/>
        <w:tblW w:type="auto" w:w="0"/>
        <w:jc w:val="center"/>
        <w:tblLayout w:type="fixed"/>
        <w:tblLook w:firstColumn="1" w:firstRow="1" w:lastColumn="0" w:lastRow="0" w:noHBand="0" w:noVBand="1" w:val="04A0"/>
      </w:tblPr>
      <w:tblGrid>
        <w:gridCol w:w="4896"/>
        <w:gridCol w:w="4896"/>
      </w:tblGrid>
      <w:tr>
        <w:tc>
          <w:tcPr>
            <w:tcW w:type="dxa" w:w="2232"/>
            <w:vAlign w:val="center"/>
            <w:tcMar>
              <w:top w:w="90" w:type="dxa"/>
              <w:start w:w="120" w:type="dxa"/>
              <w:bottom w:w="90" w:type="dxa"/>
              <w:end w:w="120" w:type="dxa"/>
            </w:tcMar>
            <w:shd w:fill="1F4D78"/>
          </w:tcPr>
          <w:p>
            <w:r>
              <w:rPr>
                <w:b/>
                <w:color w:val="FFFFFF"/>
                <w:sz w:val="18"/>
              </w:rPr>
              <w:t>Control Area</w:t>
            </w:r>
          </w:p>
        </w:tc>
        <w:tc>
          <w:tcPr>
            <w:tcW w:type="dxa" w:w="7416"/>
            <w:vAlign w:val="center"/>
            <w:tcMar>
              <w:top w:w="90" w:type="dxa"/>
              <w:start w:w="120" w:type="dxa"/>
              <w:bottom w:w="90" w:type="dxa"/>
              <w:end w:w="120" w:type="dxa"/>
            </w:tcMar>
            <w:shd w:fill="1F4D78"/>
          </w:tcPr>
          <w:p>
            <w:r>
              <w:rPr>
                <w:b/>
                <w:color w:val="FFFFFF"/>
                <w:sz w:val="18"/>
              </w:rPr>
              <w:t>Fail-Closed Controls</w:t>
            </w:r>
          </w:p>
        </w:tc>
      </w:tr>
      <w:tr>
        <w:tc>
          <w:tcPr>
            <w:tcW w:type="dxa" w:w="2232"/>
            <w:vAlign w:val="center"/>
            <w:tcMar>
              <w:top w:w="90" w:type="dxa"/>
              <w:start w:w="120" w:type="dxa"/>
              <w:bottom w:w="90" w:type="dxa"/>
              <w:end w:w="120" w:type="dxa"/>
            </w:tcMar>
            <w:shd w:fill="F4F7FA"/>
          </w:tcPr>
          <w:p>
            <w:pPr>
              <w:spacing w:after="0"/>
            </w:pPr>
            <w:r>
              <w:rPr>
                <w:b/>
                <w:color w:val="14202C"/>
                <w:sz w:val="17"/>
              </w:rPr>
              <w:t>Enterprise Requirement</w:t>
            </w:r>
          </w:p>
        </w:tc>
        <w:tc>
          <w:tcPr>
            <w:tcW w:type="dxa" w:w="7416"/>
            <w:vAlign w:val="center"/>
            <w:tcMar>
              <w:top w:w="90" w:type="dxa"/>
              <w:start w:w="120" w:type="dxa"/>
              <w:bottom w:w="90" w:type="dxa"/>
              <w:end w:w="120" w:type="dxa"/>
            </w:tcMar>
          </w:tcPr>
          <w:p>
            <w:pPr>
              <w:spacing w:after="0"/>
            </w:pPr>
            <w:r>
              <w:rPr>
                <w:color w:val="14202C"/>
                <w:sz w:val="17"/>
              </w:rPr>
              <w:t>Unknown or incomplete state must block execution.</w:t>
            </w:r>
          </w:p>
        </w:tc>
      </w:tr>
      <w:tr>
        <w:tc>
          <w:tcPr>
            <w:tcW w:type="dxa" w:w="2232"/>
            <w:vAlign w:val="center"/>
            <w:tcMar>
              <w:top w:w="90" w:type="dxa"/>
              <w:start w:w="120" w:type="dxa"/>
              <w:bottom w:w="90" w:type="dxa"/>
              <w:end w:w="120" w:type="dxa"/>
            </w:tcMar>
            <w:shd w:fill="F4F7FA"/>
          </w:tcPr>
          <w:p>
            <w:pPr>
              <w:spacing w:after="0"/>
            </w:pPr>
            <w:r>
              <w:rPr>
                <w:b/>
                <w:color w:val="14202C"/>
                <w:sz w:val="17"/>
              </w:rPr>
              <w:t>Expected Evidence</w:t>
            </w:r>
          </w:p>
        </w:tc>
        <w:tc>
          <w:tcPr>
            <w:tcW w:type="dxa" w:w="7416"/>
            <w:vAlign w:val="center"/>
            <w:tcMar>
              <w:top w:w="90" w:type="dxa"/>
              <w:start w:w="120" w:type="dxa"/>
              <w:bottom w:w="90" w:type="dxa"/>
              <w:end w:w="120" w:type="dxa"/>
            </w:tcMar>
          </w:tcPr>
          <w:p>
            <w:pPr>
              <w:spacing w:after="0"/>
            </w:pPr>
            <w:r>
              <w:rPr>
                <w:color w:val="14202C"/>
                <w:sz w:val="17"/>
              </w:rPr>
              <w:t>Denial reason, missing-control indicator, and preserved audit trail.</w:t>
            </w:r>
          </w:p>
        </w:tc>
      </w:tr>
    </w:tbl>
    <w:p>
      <w:pPr>
        <w:spacing w:after="20"/>
      </w:pPr>
    </w:p>
    <w:p>
      <w:pPr>
        <w:pStyle w:val="Heading1"/>
      </w:pPr>
      <w:r>
        <w:t>Human Oversight Must Produce Evidence</w:t>
      </w:r>
    </w:p>
    <w:p>
      <w:r>
        <w:t>Human oversight should not be limited to a dashboard view or informal review. It should create a durable decision record that identifies who reviewed the action, what they decided, when the decision occurred, and which policy context governed the decision.</w:t>
      </w:r>
    </w:p>
    <w:p>
      <w:r>
        <w:t>This is especially important for high-risk workflows where security, compliance, legal, risk, or audit teams may need to verify that human judgment was applied before execution.</w:t>
      </w:r>
    </w:p>
    <w:p>
      <w:pPr>
        <w:pStyle w:val="Heading1"/>
      </w:pPr>
      <w:r>
        <w:t>Provenance And Auditability Are Control Requirements</w:t>
      </w:r>
    </w:p>
    <w:p>
      <w:r>
        <w:t>Provenance allows the organization to understand where an AI-assisted action came from and what evidence supported it. Auditability allows the organization to reconstruct the decision later without relying on memory, manual notes, or incomplete logs.</w:t>
      </w:r>
    </w:p>
    <w:p>
      <w:r>
        <w:t>For enterprise AI governance, provenance and audit evidence should be generated as part of the decision path, not assembled after a review, incident, or regulator request.</w:t>
      </w:r>
    </w:p>
    <w:p>
      <w:pPr>
        <w:pStyle w:val="Heading1"/>
      </w:pPr>
      <w:r>
        <w:t>Executive Takeaway</w:t>
      </w:r>
    </w:p>
    <w:p>
      <w:r>
        <w:t>The central governance question is not whether an AI system is capable of producing an output. The enterprise question is whether the resulting action is authorized, policy-compliant, attributable, traceable, and defensible.</w:t>
      </w:r>
    </w:p>
    <w:p>
      <w:r>
        <w:t>Governance that cannot enforce decisions at runtime remains an assumption. Governance that validates evidence before execution becomes a control.</w:t>
      </w:r>
    </w:p>
    <w:sectPr w:rsidR="00FC693F" w:rsidRPr="0006063C" w:rsidSect="00034616">
      <w:headerReference w:type="default" r:id="rId9"/>
      <w:footerReference w:type="default" r:id="rId10"/>
      <w:pgSz w:w="12240" w:h="15840"/>
      <w:pgMar w:top="1037" w:right="1224" w:bottom="1037"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9"/>
        <w:sz w:val="17"/>
      </w:rPr>
      <w:t>For enterprise governance review and LinkedIn Featured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F69"/>
        <w:sz w:val="17"/>
      </w:rPr>
      <w:t>USBAY | AI Governance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Calibri" w:hAnsi="Calibri" w:eastAsia="Calibri"/>
      <w:color w:val="1420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Calibri" w:hAnsi="Calibri" w:eastAsia="Calibri"/>
      <w:b/>
      <w:bCs/>
      <w:color w:val="1F4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