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59" w:lineRule="auto"/>
      </w:pPr>
      <w:r>
        <w:t>Guia do fluxo climático AgroSmart</w:t>
      </w:r>
    </w:p>
    <w:p>
      <w:pPr>
        <w:spacing w:after="120" w:line="259" w:lineRule="auto"/>
      </w:pPr>
      <w:r>
        <w:t>Versão clima-integral-v1. Este guia explica a operação do protótipo de demonstração; não descreve um seguro comercial validado.</w:t>
      </w:r>
    </w:p>
    <w:p>
      <w:pPr>
        <w:pStyle w:val="Heading1"/>
        <w:spacing w:before="200" w:after="80"/>
      </w:pPr>
      <w:r>
        <w:t>1 O que é assegurado no protótipo</w:t>
      </w:r>
    </w:p>
    <w:p>
      <w:pPr>
        <w:spacing w:after="120" w:line="259" w:lineRule="auto"/>
      </w:pPr>
      <w:r>
        <w:t>Uma apólice contém um limite de indenização, um período de cobertura e um limiar experimental de dias secos. O contrato paga 100% uma única vez quando o índice atinge o limiar. Não calcula perda real, área afetada ou percentual por fotografia. Não cobre excesso de chuva.</w:t>
      </w:r>
    </w:p>
    <w:p>
      <w:pPr>
        <w:pStyle w:val="Heading1"/>
        <w:spacing w:before="200" w:after="80"/>
      </w:pPr>
      <w:r>
        <w:t>2 Onde cada parte participa</w:t>
      </w:r>
    </w:p>
    <w:p>
      <w:pPr>
        <w:spacing w:after="120" w:line="259" w:lineRule="auto"/>
      </w:pPr>
      <w:r>
        <w:t>O aplicativo é a interface. A API autentica usuários e fontes, prepara a proposta e atende consultas. O banco guarda cadastros, leituras, propostas e eventos indexados. O oráculo consulta leituras válidas, calcula o índice e publica uma transação. Os contratos controlam a garantia e executam o pagamento. MetaMask é a carteira para assinaturas e transações das partes; o oráculo usa sua própria chave de serviço.</w:t>
      </w:r>
    </w:p>
    <w:p>
      <w:pPr>
        <w:pStyle w:val="Heading1"/>
        <w:spacing w:before="200" w:after="80"/>
      </w:pPr>
      <w:r>
        <w:t>3 Cadastro e carteira do produtor</w:t>
      </w:r>
    </w:p>
    <w:p>
      <w:pPr>
        <w:spacing w:after="120" w:line="259" w:lineRule="auto"/>
      </w:pPr>
      <w:r>
        <w:t>A seguradora cadastra produtor, propriedade, talhão e fontes. O produtor entra no aplicativo e vincula sua carteira assinando uma mensagem de desafio no MetaMask. Essa assinatura comprova posse da carteira; não transfere ETH. A chave privada permanece na carteira.</w:t>
      </w:r>
    </w:p>
    <w:p>
      <w:pPr>
        <w:pStyle w:val="Heading1"/>
        <w:spacing w:before="200" w:after="80"/>
      </w:pPr>
      <w:r>
        <w:t>4 Cotação e proposta</w:t>
      </w:r>
    </w:p>
    <w:p>
      <w:pPr>
        <w:spacing w:after="120" w:line="259" w:lineRule="auto"/>
      </w:pPr>
      <w:r>
        <w:t>O produtor seleciona talhão, produto integral, área e data de início. Confere o limite, o prêmio informativo, o limiar e exemplos. O envio da proposta fica no banco; ainda não é a emissão nem um pagamento em blockchain. A cultura identifica a contratação, mas não calibra o limiar agronômico.</w:t>
      </w:r>
    </w:p>
    <w:p>
      <w:pPr>
        <w:pStyle w:val="Heading1"/>
        <w:spacing w:before="200" w:after="80"/>
      </w:pPr>
      <w:r>
        <w:t>5 Emissão e garantia</w:t>
      </w:r>
    </w:p>
    <w:p>
      <w:pPr>
        <w:spacing w:after="120" w:line="259" w:lineRule="auto"/>
      </w:pPr>
      <w:r>
        <w:t>A seguradora prepara a emissão e confirma a transação em sua MetaMask. Depois confirma outro depósito, igual ao limite contratado. O contrato passa a ativo. O backend confere o recibo e os termos; o indexador acompanha os eventos. A cobrança do prêmio não é executada pelo contrato.</w:t>
      </w:r>
    </w:p>
    <w:p>
      <w:pPr>
        <w:pStyle w:val="Heading1"/>
        <w:spacing w:before="200" w:after="80"/>
      </w:pPr>
      <w:r>
        <w:t>6 Leituras e monitoramento</w:t>
      </w:r>
    </w:p>
    <w:p>
      <w:pPr>
        <w:spacing w:after="120" w:line="259" w:lineRule="auto"/>
      </w:pPr>
      <w:r>
        <w:t>O simulador reproduz dados históricos do INMET ou dados sintéticos explicitamente identificados. Cada fonte assina o envelope de leituras. A API valida assinatura, prazo, repetição e plausibilidade e registra o resultado. Para observar essa etapa, consultar as fontes e seus horários de leitura e os registros do oráculo. O produtor não precisa abrir MetaMask a cada leitura.</w:t>
      </w:r>
    </w:p>
    <w:p>
      <w:pPr>
        <w:pStyle w:val="Heading1"/>
        <w:spacing w:before="200" w:after="80"/>
      </w:pPr>
      <w:r>
        <w:t>7 Índice e pagamento</w:t>
      </w:r>
    </w:p>
    <w:p>
      <w:pPr>
        <w:spacing w:after="120" w:line="259" w:lineRule="auto"/>
      </w:pPr>
      <w:r>
        <w:t>O oráculo soma a chuva diária por estação e consolida as fontes elegíveis. Dia com chuva inferior a 1 mm é seco; dia sem leitura válida interrompe a sequência. O índice pode incluir dias anteriores ao início da cobertura. O oráculo publica o número durante a vigência. Se atingir o limiar em apólice ativa, o contrato transfere o limite à carteira do produtor na mesma transação. O produtor não assina para receber. O aviso no aplicativo depende da indexação e pode aparecer depois da confirmação na rede.</w:t>
      </w:r>
    </w:p>
    <w:p>
      <w:pPr>
        <w:pStyle w:val="Heading1"/>
        <w:spacing w:before="200" w:after="80"/>
      </w:pPr>
      <w:r>
        <w:t>8 Como conferir</w:t>
      </w:r>
    </w:p>
    <w:p>
      <w:pPr>
        <w:spacing w:after="120" w:line="259" w:lineRule="auto"/>
      </w:pPr>
      <w:r>
        <w:t>Conferir rede e endereço da carteira, situação da apólice, valor pago e transação do evento PagamentoExecutado. O recebimento é verificado pelo saldo e pelo recibo na rede correspondente. ETH de teste da rede local e da Sepolia não é dinheiro real. A demonstração automatizada usa contas locais de teste, que não devem substituir a carteira pessoal de teste na apresentação.</w:t>
      </w:r>
    </w:p>
    <w:p>
      <w:pPr>
        <w:pStyle w:val="Heading1"/>
        <w:spacing w:before="200" w:after="80"/>
      </w:pPr>
      <w:r>
        <w:t>9 Cancelamento e encerramento</w:t>
      </w:r>
    </w:p>
    <w:p>
      <w:pPr>
        <w:spacing w:after="120" w:line="259" w:lineRule="auto"/>
      </w:pPr>
      <w:r>
        <w:t>Antes da vigência, produtor ou seguradora podem assinar o cancelamento; a garantia volta à seguradora. Após o início, o cancelamento é recusado. Ao fim sem acionamento, a seguradora pode resgatar a garantia. Depois de paga a indenização integral, não há nova indenização nem saldo regular a resgatar.</w:t>
      </w:r>
    </w:p>
    <w:p>
      <w:pPr>
        <w:pStyle w:val="Heading1"/>
        <w:spacing w:before="200" w:after="80"/>
      </w:pPr>
      <w:r>
        <w:t>10 Falhas e limites</w:t>
      </w:r>
    </w:p>
    <w:p>
      <w:pPr>
        <w:spacing w:after="120" w:line="259" w:lineRule="auto"/>
      </w:pPr>
      <w:r>
        <w:t>Rede indisponível pode deixar publicação pendente na fila; erros definitivos precisam de correção. Se a carteira de destino recusar ETH, toda a publicação que pagaria reverte. Assinatura não comprova a verdade física da leitura. O oráculo é de nó único e o limiar é experimental. A versão atual precisa de nova implantação e verificação na Sepolia; endereços históricos não são habilitados automaticamente.</w:t>
      </w:r>
    </w:p>
    <w:p>
      <w:pPr>
        <w:pStyle w:val="Heading1"/>
        <w:spacing w:before="200" w:after="80"/>
      </w:pPr>
      <w:r>
        <w:t>11 Roteiro de validação</w:t>
      </w:r>
    </w:p>
    <w:p>
      <w:pPr>
        <w:spacing w:after="120" w:line="259" w:lineRule="auto"/>
      </w:pPr>
      <w:r>
        <w:t>Executar primeiro os testes de contratos e a demonstração scripts/avaliar-integral.js na rede Hardhat. Depois validar API, aplicativo e integrações do oráculo e indexador. O roteiro com séries INMET e a configuração de cada serviço estão em docs/COMO-RODAR.md. Os resultados desta revisão estão em docs/resultados/clima-integral-2026-10-16.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