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line="360"/>
        <w:jc w:val="center"/>
      </w:pPr>
      <w:r>
        <w:rPr>
          <w:rFonts w:ascii="Times New Roman" w:cs="Times New Roman" w:eastAsia="Times New Roman" w:hAnsi="Times New Roman"/>
          <w:b/>
          <w:bCs/>
          <w:i w:val="false"/>
          <w:iCs w:val="false"/>
          <w:sz w:val="24"/>
          <w:szCs w:val="24"/>
        </w:rPr>
        <w:t xml:space="preserve">UNIVERSIDADE SÃO JUDAS TADEU</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Curso de Bacharelado em Engenharia de Computação</w:t>
      </w:r>
    </w:p>
    <w:p>
      <w:pPr>
        <w:spacing w:after="900" w:before="0" w:line="360"/>
        <w:jc w:val="center"/>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AGROSMART</w:t>
      </w:r>
    </w:p>
    <w:p>
      <w:pPr>
        <w:spacing w:after="140" w:before="0" w:line="360"/>
        <w:jc w:val="center"/>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iCs/>
          <w:sz w:val="22"/>
          <w:szCs w:val="22"/>
        </w:rPr>
        <w:t xml:space="preserve">Seguros agrícolas automatizados com smart contracts, IoT e visão computacional</w:t>
      </w:r>
    </w:p>
    <w:p>
      <w:pPr>
        <w:spacing w:after="800" w:before="0" w:line="360"/>
        <w:jc w:val="center"/>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2"/>
          <w:szCs w:val="22"/>
        </w:rPr>
        <w:t xml:space="preserve">DOCUMENTAÇÃO DE SOFTWARE</w:t>
      </w:r>
    </w:p>
    <w:p>
      <w:pPr>
        <w:spacing w:after="800" w:before="0" w:line="360"/>
        <w:jc w:val="center"/>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Ana Victória Faria dos Santos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Beatriz Aarão de Melo</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Bruno Henrique Volpini Stramasso</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Gabriel Moreira Bittencourt</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Lamys Bachir Fares</w:t>
      </w:r>
    </w:p>
    <w:p>
      <w:pPr>
        <w:spacing w:after="900" w:before="0" w:line="360"/>
        <w:jc w:val="center"/>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São Paulo</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after="120" w:before="500" w:line="360"/>
        <w:jc w:val="center"/>
      </w:pPr>
      <w:r>
        <w:rPr>
          <w:rFonts w:ascii="Times New Roman" w:cs="Times New Roman" w:eastAsia="Times New Roman" w:hAnsi="Times New Roman"/>
          <w:b/>
          <w:bCs/>
          <w:i w:val="false"/>
          <w:iCs w:val="false"/>
          <w:sz w:val="24"/>
          <w:szCs w:val="24"/>
        </w:rPr>
        <w:t xml:space="preserve">AGROSMART</w:t>
      </w:r>
    </w:p>
    <w:p>
      <w:pPr>
        <w:spacing w:after="500" w:before="0" w:line="360"/>
        <w:jc w:val="center"/>
      </w:pPr>
      <w:r>
        <w:rPr>
          <w:rFonts w:ascii="Times New Roman" w:cs="Times New Roman" w:eastAsia="Times New Roman" w:hAnsi="Times New Roman"/>
          <w:b w:val="false"/>
          <w:bCs w:val="false"/>
          <w:i w:val="false"/>
          <w:iCs w:val="false"/>
          <w:sz w:val="24"/>
          <w:szCs w:val="24"/>
        </w:rPr>
        <w:t xml:space="preserve"/>
      </w:r>
    </w:p>
    <w:p>
      <w:pPr>
        <w:spacing w:after="320" w:line="240"/>
        <w:ind w:left="4536"/>
        <w:jc w:val="both"/>
      </w:pPr>
      <w:r>
        <w:rPr>
          <w:rFonts w:ascii="Times New Roman" w:cs="Times New Roman" w:eastAsia="Times New Roman" w:hAnsi="Times New Roman"/>
          <w:sz w:val="24"/>
          <w:szCs w:val="24"/>
        </w:rPr>
        <w:t xml:space="preserve">Documentação de software apresentada à disciplina de Trabalho de Conclusão de Curso como requisito parcial de avaliação. Contempla a especificação de requisitos, a modelagem em UML, a arquitetura do sistema e o planejamento do desenvolvimento do protótipo.</w:t>
      </w:r>
    </w:p>
    <w:p>
      <w:pPr>
        <w:spacing w:after="1200" w:line="240"/>
        <w:ind w:left="4536"/>
        <w:jc w:val="both"/>
      </w:pPr>
      <w:r>
        <w:rPr>
          <w:rFonts w:ascii="Times New Roman" w:cs="Times New Roman" w:eastAsia="Times New Roman" w:hAnsi="Times New Roman"/>
          <w:sz w:val="24"/>
          <w:szCs w:val="24"/>
        </w:rPr>
        <w:t xml:space="preserve">Orientador: Prof. Nelson Oliveira</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São Paulo</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2026</w:t>
      </w:r>
    </w:p>
    <w:p>
      <w:r>
        <w:br w:type="page"/>
      </w:r>
    </w:p>
    <w:p>
      <w:pPr>
        <w:pStyle w:val="Heading1"/>
        <w:spacing w:after="240" w:before="360" w:line="360"/>
      </w:pPr>
      <w:r>
        <w:rPr>
          <w:rFonts w:ascii="Times New Roman" w:cs="Times New Roman" w:eastAsia="Times New Roman" w:hAnsi="Times New Roman"/>
          <w:b/>
          <w:bCs/>
          <w:color w:val="000000"/>
          <w:sz w:val="24"/>
          <w:szCs w:val="24"/>
        </w:rPr>
        <w:t xml:space="preserve">SUMÁRIO</w:t>
      </w:r>
    </w:p>
    <w:p>
      <w:pPr>
        <w:tabs>
          <w:tab w:val="right" w:pos="9026" w:leader="dot"/>
        </w:tabs>
        <w:spacing w:after="0" w:line="360"/>
      </w:pPr>
      <w:r>
        <w:rPr>
          <w:rFonts w:ascii="Times New Roman" w:cs="Times New Roman" w:eastAsia="Times New Roman" w:hAnsi="Times New Roman"/>
          <w:sz w:val="24"/>
          <w:szCs w:val="24"/>
        </w:rPr>
        <w:t xml:space="preserve">1 INTRODUÇÃO	4</w:t>
      </w:r>
    </w:p>
    <w:p>
      <w:pPr>
        <w:tabs>
          <w:tab w:val="right" w:pos="9026" w:leader="dot"/>
        </w:tabs>
        <w:spacing w:after="0" w:line="360"/>
      </w:pPr>
      <w:r>
        <w:rPr>
          <w:rFonts w:ascii="Times New Roman" w:cs="Times New Roman" w:eastAsia="Times New Roman" w:hAnsi="Times New Roman"/>
          <w:sz w:val="24"/>
          <w:szCs w:val="24"/>
        </w:rPr>
        <w:t xml:space="preserve">1.1 Contextualização	4</w:t>
      </w:r>
    </w:p>
    <w:p>
      <w:pPr>
        <w:tabs>
          <w:tab w:val="right" w:pos="9026" w:leader="dot"/>
        </w:tabs>
        <w:spacing w:after="0" w:line="360"/>
      </w:pPr>
      <w:r>
        <w:rPr>
          <w:rFonts w:ascii="Times New Roman" w:cs="Times New Roman" w:eastAsia="Times New Roman" w:hAnsi="Times New Roman"/>
          <w:sz w:val="24"/>
          <w:szCs w:val="24"/>
        </w:rPr>
        <w:t xml:space="preserve">1.2 Problema de pesquisa	6</w:t>
      </w:r>
    </w:p>
    <w:p>
      <w:pPr>
        <w:tabs>
          <w:tab w:val="right" w:pos="9026" w:leader="dot"/>
        </w:tabs>
        <w:spacing w:after="0" w:line="360"/>
      </w:pPr>
      <w:r>
        <w:rPr>
          <w:rFonts w:ascii="Times New Roman" w:cs="Times New Roman" w:eastAsia="Times New Roman" w:hAnsi="Times New Roman"/>
          <w:sz w:val="24"/>
          <w:szCs w:val="24"/>
        </w:rPr>
        <w:t xml:space="preserve">1.3 Justificativa	6</w:t>
      </w:r>
    </w:p>
    <w:p>
      <w:pPr>
        <w:tabs>
          <w:tab w:val="right" w:pos="9026" w:leader="dot"/>
        </w:tabs>
        <w:spacing w:after="0" w:line="360"/>
      </w:pPr>
      <w:r>
        <w:rPr>
          <w:rFonts w:ascii="Times New Roman" w:cs="Times New Roman" w:eastAsia="Times New Roman" w:hAnsi="Times New Roman"/>
          <w:sz w:val="24"/>
          <w:szCs w:val="24"/>
        </w:rPr>
        <w:t xml:space="preserve">1.4 Objetivos	8</w:t>
      </w:r>
    </w:p>
    <w:p>
      <w:pPr>
        <w:tabs>
          <w:tab w:val="right" w:pos="9026" w:leader="dot"/>
        </w:tabs>
        <w:spacing w:after="0" w:line="360"/>
      </w:pPr>
      <w:r>
        <w:rPr>
          <w:rFonts w:ascii="Times New Roman" w:cs="Times New Roman" w:eastAsia="Times New Roman" w:hAnsi="Times New Roman"/>
          <w:sz w:val="24"/>
          <w:szCs w:val="24"/>
        </w:rPr>
        <w:t xml:space="preserve">1.5 Delimitação do escopo	9</w:t>
      </w:r>
    </w:p>
    <w:p>
      <w:pPr>
        <w:tabs>
          <w:tab w:val="right" w:pos="9026" w:leader="dot"/>
        </w:tabs>
        <w:spacing w:after="0" w:line="360"/>
      </w:pPr>
      <w:r>
        <w:rPr>
          <w:rFonts w:ascii="Times New Roman" w:cs="Times New Roman" w:eastAsia="Times New Roman" w:hAnsi="Times New Roman"/>
          <w:sz w:val="24"/>
          <w:szCs w:val="24"/>
        </w:rPr>
        <w:t xml:space="preserve">1.6 Trabalhos relacionados	9</w:t>
      </w:r>
    </w:p>
    <w:p>
      <w:pPr>
        <w:tabs>
          <w:tab w:val="right" w:pos="9026" w:leader="dot"/>
        </w:tabs>
        <w:spacing w:after="0" w:line="360"/>
      </w:pPr>
      <w:r>
        <w:rPr>
          <w:rFonts w:ascii="Times New Roman" w:cs="Times New Roman" w:eastAsia="Times New Roman" w:hAnsi="Times New Roman"/>
          <w:sz w:val="24"/>
          <w:szCs w:val="24"/>
        </w:rPr>
        <w:t xml:space="preserve">1.7 Estrutura do trabalho	11</w:t>
      </w:r>
    </w:p>
    <w:p>
      <w:pPr>
        <w:tabs>
          <w:tab w:val="right" w:pos="9026" w:leader="dot"/>
        </w:tabs>
        <w:spacing w:after="0" w:line="360"/>
      </w:pPr>
      <w:r>
        <w:rPr>
          <w:rFonts w:ascii="Times New Roman" w:cs="Times New Roman" w:eastAsia="Times New Roman" w:hAnsi="Times New Roman"/>
          <w:sz w:val="24"/>
          <w:szCs w:val="24"/>
        </w:rPr>
        <w:t xml:space="preserve">2 CASOS DE USO	12</w:t>
      </w:r>
    </w:p>
    <w:p>
      <w:pPr>
        <w:tabs>
          <w:tab w:val="right" w:pos="9026" w:leader="dot"/>
        </w:tabs>
        <w:spacing w:after="0" w:line="360"/>
      </w:pPr>
      <w:r>
        <w:rPr>
          <w:rFonts w:ascii="Times New Roman" w:cs="Times New Roman" w:eastAsia="Times New Roman" w:hAnsi="Times New Roman"/>
          <w:sz w:val="24"/>
          <w:szCs w:val="24"/>
        </w:rPr>
        <w:t xml:space="preserve">2.1 Atores	12</w:t>
      </w:r>
    </w:p>
    <w:p>
      <w:pPr>
        <w:tabs>
          <w:tab w:val="right" w:pos="9026" w:leader="dot"/>
        </w:tabs>
        <w:spacing w:after="0" w:line="360"/>
      </w:pPr>
      <w:r>
        <w:rPr>
          <w:rFonts w:ascii="Times New Roman" w:cs="Times New Roman" w:eastAsia="Times New Roman" w:hAnsi="Times New Roman"/>
          <w:sz w:val="24"/>
          <w:szCs w:val="24"/>
        </w:rPr>
        <w:t xml:space="preserve">2.2 Visão consolidada	13</w:t>
      </w:r>
    </w:p>
    <w:p>
      <w:pPr>
        <w:tabs>
          <w:tab w:val="right" w:pos="9026" w:leader="dot"/>
        </w:tabs>
        <w:spacing w:after="0" w:line="360"/>
      </w:pPr>
      <w:r>
        <w:rPr>
          <w:rFonts w:ascii="Times New Roman" w:cs="Times New Roman" w:eastAsia="Times New Roman" w:hAnsi="Times New Roman"/>
          <w:sz w:val="24"/>
          <w:szCs w:val="24"/>
        </w:rPr>
        <w:t xml:space="preserve">2.3 Visão detalhada	14</w:t>
      </w:r>
    </w:p>
    <w:p>
      <w:pPr>
        <w:tabs>
          <w:tab w:val="right" w:pos="9026" w:leader="dot"/>
        </w:tabs>
        <w:spacing w:after="0" w:line="360"/>
      </w:pPr>
      <w:r>
        <w:rPr>
          <w:rFonts w:ascii="Times New Roman" w:cs="Times New Roman" w:eastAsia="Times New Roman" w:hAnsi="Times New Roman"/>
          <w:sz w:val="24"/>
          <w:szCs w:val="24"/>
        </w:rPr>
        <w:t xml:space="preserve">2.4 Descrição dos casos de uso	16</w:t>
      </w:r>
    </w:p>
    <w:p>
      <w:pPr>
        <w:tabs>
          <w:tab w:val="right" w:pos="9026" w:leader="dot"/>
        </w:tabs>
        <w:spacing w:after="0" w:line="360"/>
      </w:pPr>
      <w:r>
        <w:rPr>
          <w:rFonts w:ascii="Times New Roman" w:cs="Times New Roman" w:eastAsia="Times New Roman" w:hAnsi="Times New Roman"/>
          <w:sz w:val="24"/>
          <w:szCs w:val="24"/>
        </w:rPr>
        <w:t xml:space="preserve">2.5 Relações entre casos de uso	17</w:t>
      </w:r>
    </w:p>
    <w:p>
      <w:pPr>
        <w:tabs>
          <w:tab w:val="right" w:pos="9026" w:leader="dot"/>
        </w:tabs>
        <w:spacing w:after="0" w:line="360"/>
      </w:pPr>
      <w:r>
        <w:rPr>
          <w:rFonts w:ascii="Times New Roman" w:cs="Times New Roman" w:eastAsia="Times New Roman" w:hAnsi="Times New Roman"/>
          <w:sz w:val="24"/>
          <w:szCs w:val="24"/>
        </w:rPr>
        <w:t xml:space="preserve">3 ARQUITETURA DO SISTEMA	18</w:t>
      </w:r>
    </w:p>
    <w:p>
      <w:pPr>
        <w:tabs>
          <w:tab w:val="right" w:pos="9026" w:leader="dot"/>
        </w:tabs>
        <w:spacing w:after="0" w:line="360"/>
      </w:pPr>
      <w:r>
        <w:rPr>
          <w:rFonts w:ascii="Times New Roman" w:cs="Times New Roman" w:eastAsia="Times New Roman" w:hAnsi="Times New Roman"/>
          <w:sz w:val="24"/>
          <w:szCs w:val="24"/>
        </w:rPr>
        <w:t xml:space="preserve">3.1 Camadas e componentes	18</w:t>
      </w:r>
    </w:p>
    <w:p>
      <w:pPr>
        <w:tabs>
          <w:tab w:val="right" w:pos="9026" w:leader="dot"/>
        </w:tabs>
        <w:spacing w:after="0" w:line="360"/>
      </w:pPr>
      <w:r>
        <w:rPr>
          <w:rFonts w:ascii="Times New Roman" w:cs="Times New Roman" w:eastAsia="Times New Roman" w:hAnsi="Times New Roman"/>
          <w:sz w:val="24"/>
          <w:szCs w:val="24"/>
        </w:rPr>
        <w:t xml:space="preserve">3.2 A fronteira de confiança	19</w:t>
      </w:r>
    </w:p>
    <w:p>
      <w:pPr>
        <w:tabs>
          <w:tab w:val="right" w:pos="9026" w:leader="dot"/>
        </w:tabs>
        <w:spacing w:after="0" w:line="360"/>
      </w:pPr>
      <w:r>
        <w:rPr>
          <w:rFonts w:ascii="Times New Roman" w:cs="Times New Roman" w:eastAsia="Times New Roman" w:hAnsi="Times New Roman"/>
          <w:sz w:val="24"/>
          <w:szCs w:val="24"/>
        </w:rPr>
        <w:t xml:space="preserve">3.3 Tecnologias adotadas	20</w:t>
      </w:r>
    </w:p>
    <w:p>
      <w:pPr>
        <w:tabs>
          <w:tab w:val="right" w:pos="9026" w:leader="dot"/>
        </w:tabs>
        <w:spacing w:after="0" w:line="360"/>
      </w:pPr>
      <w:r>
        <w:rPr>
          <w:rFonts w:ascii="Times New Roman" w:cs="Times New Roman" w:eastAsia="Times New Roman" w:hAnsi="Times New Roman"/>
          <w:sz w:val="24"/>
          <w:szCs w:val="24"/>
        </w:rPr>
        <w:t xml:space="preserve">4 REQUISITOS	21</w:t>
      </w:r>
    </w:p>
    <w:p>
      <w:pPr>
        <w:tabs>
          <w:tab w:val="right" w:pos="9026" w:leader="dot"/>
        </w:tabs>
        <w:spacing w:after="0" w:line="360"/>
      </w:pPr>
      <w:r>
        <w:rPr>
          <w:rFonts w:ascii="Times New Roman" w:cs="Times New Roman" w:eastAsia="Times New Roman" w:hAnsi="Times New Roman"/>
          <w:sz w:val="24"/>
          <w:szCs w:val="24"/>
        </w:rPr>
        <w:t xml:space="preserve">4.1 Requisitos funcionais	21</w:t>
      </w:r>
    </w:p>
    <w:p>
      <w:pPr>
        <w:tabs>
          <w:tab w:val="right" w:pos="9026" w:leader="dot"/>
        </w:tabs>
        <w:spacing w:after="0" w:line="360"/>
      </w:pPr>
      <w:r>
        <w:rPr>
          <w:rFonts w:ascii="Times New Roman" w:cs="Times New Roman" w:eastAsia="Times New Roman" w:hAnsi="Times New Roman"/>
          <w:sz w:val="24"/>
          <w:szCs w:val="24"/>
        </w:rPr>
        <w:t xml:space="preserve">4.2 Requisitos não funcionais	25</w:t>
      </w:r>
    </w:p>
    <w:p>
      <w:pPr>
        <w:tabs>
          <w:tab w:val="right" w:pos="9026" w:leader="dot"/>
        </w:tabs>
        <w:spacing w:after="0" w:line="360"/>
      </w:pPr>
      <w:r>
        <w:rPr>
          <w:rFonts w:ascii="Times New Roman" w:cs="Times New Roman" w:eastAsia="Times New Roman" w:hAnsi="Times New Roman"/>
          <w:sz w:val="24"/>
          <w:szCs w:val="24"/>
        </w:rPr>
        <w:t xml:space="preserve">5 MODELAGEM	28</w:t>
      </w:r>
    </w:p>
    <w:p>
      <w:pPr>
        <w:tabs>
          <w:tab w:val="right" w:pos="9026" w:leader="dot"/>
        </w:tabs>
        <w:spacing w:after="0" w:line="360"/>
      </w:pPr>
      <w:r>
        <w:rPr>
          <w:rFonts w:ascii="Times New Roman" w:cs="Times New Roman" w:eastAsia="Times New Roman" w:hAnsi="Times New Roman"/>
          <w:sz w:val="24"/>
          <w:szCs w:val="24"/>
        </w:rPr>
        <w:t xml:space="preserve">5.1 Diagrama de classes	28</w:t>
      </w:r>
    </w:p>
    <w:p>
      <w:pPr>
        <w:tabs>
          <w:tab w:val="right" w:pos="9026" w:leader="dot"/>
        </w:tabs>
        <w:spacing w:after="0" w:line="360"/>
      </w:pPr>
      <w:r>
        <w:rPr>
          <w:rFonts w:ascii="Times New Roman" w:cs="Times New Roman" w:eastAsia="Times New Roman" w:hAnsi="Times New Roman"/>
          <w:sz w:val="24"/>
          <w:szCs w:val="24"/>
        </w:rPr>
        <w:t xml:space="preserve">5.2 Diagrama de sequência	29</w:t>
      </w:r>
    </w:p>
    <w:p>
      <w:pPr>
        <w:tabs>
          <w:tab w:val="right" w:pos="9026" w:leader="dot"/>
        </w:tabs>
        <w:spacing w:after="0" w:line="360"/>
      </w:pPr>
      <w:r>
        <w:rPr>
          <w:rFonts w:ascii="Times New Roman" w:cs="Times New Roman" w:eastAsia="Times New Roman" w:hAnsi="Times New Roman"/>
          <w:sz w:val="24"/>
          <w:szCs w:val="24"/>
        </w:rPr>
        <w:t xml:space="preserve">6 PLANEJAMENTO DO DESENVOLVIMENTO	31</w:t>
      </w:r>
    </w:p>
    <w:p>
      <w:pPr>
        <w:tabs>
          <w:tab w:val="right" w:pos="9026" w:leader="dot"/>
        </w:tabs>
        <w:spacing w:after="0" w:line="360"/>
      </w:pPr>
      <w:r>
        <w:rPr>
          <w:rFonts w:ascii="Times New Roman" w:cs="Times New Roman" w:eastAsia="Times New Roman" w:hAnsi="Times New Roman"/>
          <w:sz w:val="24"/>
          <w:szCs w:val="24"/>
        </w:rPr>
        <w:t xml:space="preserve">6.1 Backlog e histórias de usuário	31</w:t>
      </w:r>
    </w:p>
    <w:p>
      <w:pPr>
        <w:tabs>
          <w:tab w:val="right" w:pos="9026" w:leader="dot"/>
        </w:tabs>
        <w:spacing w:after="0" w:line="360"/>
      </w:pPr>
      <w:r>
        <w:rPr>
          <w:rFonts w:ascii="Times New Roman" w:cs="Times New Roman" w:eastAsia="Times New Roman" w:hAnsi="Times New Roman"/>
          <w:sz w:val="24"/>
          <w:szCs w:val="24"/>
        </w:rPr>
        <w:t xml:space="preserve">6.2 Sprints e cronograma	37</w:t>
      </w:r>
    </w:p>
    <w:p>
      <w:pPr>
        <w:tabs>
          <w:tab w:val="right" w:pos="9026" w:leader="dot"/>
        </w:tabs>
        <w:spacing w:after="0" w:line="360"/>
      </w:pPr>
      <w:r>
        <w:rPr>
          <w:rFonts w:ascii="Times New Roman" w:cs="Times New Roman" w:eastAsia="Times New Roman" w:hAnsi="Times New Roman"/>
          <w:sz w:val="24"/>
          <w:szCs w:val="24"/>
        </w:rPr>
        <w:t xml:space="preserve">6.3 Itens de reserva	38</w:t>
      </w:r>
    </w:p>
    <w:p>
      <w:pPr>
        <w:tabs>
          <w:tab w:val="right" w:pos="9026" w:leader="dot"/>
        </w:tabs>
        <w:spacing w:after="0" w:line="360"/>
      </w:pPr>
      <w:r>
        <w:rPr>
          <w:rFonts w:ascii="Times New Roman" w:cs="Times New Roman" w:eastAsia="Times New Roman" w:hAnsi="Times New Roman"/>
          <w:sz w:val="24"/>
          <w:szCs w:val="24"/>
        </w:rPr>
        <w:t xml:space="preserve">REFERÊNCIAS	39</w:t>
      </w:r>
    </w:p>
    <w:p>
      <w:r>
        <w:br w:type="page"/>
      </w:r>
    </w:p>
    <w:p>
      <w:pPr>
        <w:pStyle w:val="Heading1"/>
        <w:spacing w:after="240" w:before="360" w:line="360"/>
      </w:pPr>
      <w:r>
        <w:rPr>
          <w:rFonts w:ascii="Times New Roman" w:cs="Times New Roman" w:eastAsia="Times New Roman" w:hAnsi="Times New Roman"/>
          <w:b/>
          <w:bCs/>
          <w:color w:val="000000"/>
          <w:sz w:val="24"/>
          <w:szCs w:val="24"/>
        </w:rPr>
        <w:t xml:space="preserve">1 INTRODUÇÃO</w:t>
      </w:r>
    </w:p>
    <w:p>
      <w:pPr>
        <w:pStyle w:val="Heading2"/>
        <w:spacing w:after="160" w:before="300" w:line="360"/>
      </w:pPr>
      <w:r>
        <w:rPr>
          <w:rFonts w:ascii="Times New Roman" w:cs="Times New Roman" w:eastAsia="Times New Roman" w:hAnsi="Times New Roman"/>
          <w:b/>
          <w:bCs/>
          <w:color w:val="000000"/>
          <w:sz w:val="24"/>
          <w:szCs w:val="24"/>
        </w:rPr>
        <w:t xml:space="preserve">1.1 Contextualização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Historicamente, acordos comerciais dependem de um terceiro capaz de verificar o cumprimento das obrigações e executar as consequências previstas. Cartórios, câmaras de compensação, bancos e seguradoras exercem essa função, mediante remuneração. A tecnologia de registro distribuído ofereceu uma alternativa: em lugar do verificador, um procedimento que qualquer participante da rede pode reexecutar e conferir por conta própria. Com a capacidade de programação introduzida pela rede Ethereum, essa ideia deixou de se restringir a transferências de valor e passou a alcançar cláusulas arbitrariamente complexas, codificadas em programas que a própria rede executa e cujo resultado permanece registrado de forma imutável.</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Esses programas, chamados de contratos inteligentes, têm uma propriedade pouco comum entre artefatos de software: nem mesmo quem os publicou consegue alterar seu comportamento após a implantação. A execução não depende da vontade das partes, e o histórico de chamadas fica disponível para auditoria por qualquer interessado. Em acordos marcados por desconfiança mútua elevada e por um custo alto de verificação do cumprimento, essa combinação representa um ganho considerável.</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Essa mesma arquitetura, porém, impõe uma restrição severa. O estado da rede é replicado entre milhares de nós, e sua validade depende de que todos cheguem ao mesmo resultado ao reexecutar uma mesma transação. Uma consulta a fonte externa romperia essa premissa: se cada nó acessasse por conta própria uma interface de programação, poderia obter uma resposta diferente da dos demais, e o consenso se desfaria. Por isso, como decisão de projeto, contratos inteligentes não têm acesso a nada além do próprio estado da cadeia. Manoj T. et al. (2025) resumem bem o ponto ao observar que a blockchain opera como um sistema determinístico e sincronizado, no qual os estados dos dados do mundo real não são diretamente acessíveis pelos contratos.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Contorna-se essa limitação com um componente chamado oráculo, responsável por obter dados do ambiente, validá-los e submetê-los à cadeia em formato que o contrato consiga processar. A solução resolve o problema e, ao mesmo tempo, cria outro: o oráculo concentra justamente a confiança que a arquitetura descentralizada tentou eliminar, e se torna o ponto único de falha e o alvo preferencial de ataque. Na literatura, o assunto é tratado sob o nome de problema do oráculo e segue como questão em aberto na engenharia de software distribuído. Pasdar, Lee e Dong (2023) classificam as soluções propostas em quatro famílias (agregação, participação com garantia, votação e reputação), e Al-Breiki et al. (2020) apontam a confiabilidade da fonte de dados como desafio de pesquisa ainda sem solução.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Investigar esse problema exige um domínio de aplicação concreto, e a lavoura oferece um caso ao mesmo tempo relevante economicamente e adequado do ponto de vista lógico. A produção agrícola brasileira convive com exposição climática crescente: estiagens prolongadas, geadas fora de época, granizo e alagamentos comprometem safras inteiras e a capacidade de reinvestimento de quem planta. O instrumento clássico de proteção é o seguro rural, que opera sob regime indenizatório: ocorrido o evento, o produtor abre aviso de sinistro, aguarda a designação de um perito, submete-se à vistoria no talhão e só então recebe o pagamento. O procedimento consome semanas, exige mão de obra especializada e encarece o prêmio. Segundo a nota técnica O Seguro Rural Brasileiro em Risco, do Observatório do Crédito e Seguro Rural da FGV Agro (2026), a área protegida no país recuou de aproximadamente 13,45 milhões de hectares em 2021 para cerca de 3,2 milhões em 2025, retração superior a 75%. O mesmo documento registra que o bloqueio de cerca de R$ 461,7 milhões no orçamento do Programa de Subvenção ao Prêmio do Seguro Rural em 2026, somado à não execução de aproximadamente R$ 445 milhões em 2025, retirou do programa cerca de R$ 907 milhões em apenas dois exercícios.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Existe uma alternativa a esse desenho. Em vez de apurar a perda caso a caso, o contrato fixa de antemão um índice objetivo e um limiar, por exemplo dias consecutivos sem precipitação, volume acumulado de chuva ou temperatura mínima em janela crítica da cultura; atingido o limiar, o pagamento passa a ser devido. Coberturas construídas dessa forma dispensam perícia e podem liquidar em poucos dias. O interesse deste trabalho por esse arranjo, no entanto, tem menos a ver com sua importância para o agronegócio do que com sua estrutura lógica: trata-se de um acordo cuja condição de execução é uma função computável sobre grandezas físicas medidas no campo. Essa é justamente a classe de problema para a qual os contratos inteligentes foram concebidos, e também aquela que o isolamento da cadeia impede de resolver sem algum tipo de intermediação.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caso examinado acrescenta ainda uma dificuldade que o torna mais instrutivo. Além das leituras de estações meteorológicas e de sensores instalados no solo, o sistema incorpora um módulo de visão computacional capaz de estimar, a partir de imagens do talhão, a incidência de pragas ou a fração de área comprometida. A inferência de uma rede neural é pesada, probabilística e sensível à versão do modelo utilizada, três características que, isoladas ou em conjunto, seriam incompatíveis com a execução em um contrato inteligente. A arquitetura precisa, portanto, levar à cadeia apenas o resultado numérico e os elementos que permitam auditá-lo mais tarde. O que já era um problema de travessia para dados de sensores passa a ser, também, um problema de travessia para saídas de modelos estatísticos.</w:t>
      </w:r>
    </w:p>
    <w:p>
      <w:pPr>
        <w:pStyle w:val="Heading2"/>
        <w:spacing w:after="160" w:before="300" w:line="360"/>
      </w:pPr>
      <w:r>
        <w:rPr>
          <w:rFonts w:ascii="Times New Roman" w:cs="Times New Roman" w:eastAsia="Times New Roman" w:hAnsi="Times New Roman"/>
          <w:b/>
          <w:bCs/>
          <w:color w:val="000000"/>
          <w:sz w:val="24"/>
          <w:szCs w:val="24"/>
        </w:rPr>
        <w:t xml:space="preserve">1.2 Problema de pesquisa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problema que orienta este trabalho pode ser formulado da seguinte maneira: como projetar uma ponte auditável entre uma computação executada fora da cadeia, de natureza não determinística e intensiva em processamento, e uma execução contratual em cadeia, determinística e onerosa em custo de transação, de modo que a decisão automatizada resultante permaneça reproduzível e verificável por todas as partes envolvidas?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Dessa formulação decorrem quatro perguntas mais específicas, que também vão orientar o plano de avaliação experimental do trabalho. A primeira diz respeito à divisão de responsabilidades: quais operações devem permanecer fora da cadeia e quais precisam necessariamente ocorrer dentro dela, já que toda operação em cadeia tem custo e exige determinismo? A segunda trata do registro mínimo necessário para que uma decisão de pagamento seja reconstituível meses depois, mesmo quando ela dependeu da saída de um modelo de aprendizado de máquina. A terceira refere-se ao custo: quanto cada função do contrato consome em recursos de execução, e como esse consumo se comporta à medida que o volume de apólices cresce? A última pergunta é sobre robustez: como o sistema reage à indisponibilidade do oráculo, ao congestionamento da rede e a tentativas de publicação por endereço não autorizado?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Ficam fora do escopo a adequação atuarial do produto e a avaliação do seu impacto econômico: o domínio agrícola funciona aqui como instância concreta do problema técnico, não como objeto de estudo em si.</w:t>
      </w:r>
    </w:p>
    <w:p>
      <w:pPr>
        <w:pStyle w:val="Heading2"/>
        <w:spacing w:after="160" w:before="300" w:line="360"/>
      </w:pPr>
      <w:r>
        <w:rPr>
          <w:rFonts w:ascii="Times New Roman" w:cs="Times New Roman" w:eastAsia="Times New Roman" w:hAnsi="Times New Roman"/>
          <w:b/>
          <w:bCs/>
          <w:color w:val="000000"/>
          <w:sz w:val="24"/>
          <w:szCs w:val="24"/>
        </w:rPr>
        <w:t xml:space="preserve">1.3 Justificativa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Do ponto de vista técnico, a justificativa é direta. A impossibilidade de acesso a dados externos não decorre de uma lacuna de implementação que se resolveria trocando de biblioteca: é consequência direta do modelo de consenso. Trabalhar nessa fronteira obriga a equipe a lidar com determinismo, custo de execução, verificação de integridade e superfície de ataque, temas centrais tanto em arquitetura distribuída quanto em segurança computacional.</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Há, também, uma lacuna identificável na literatura, e ela fica nítida quando se olham dois trabalhos recentes lado a lado. Safeer, Gallo e Pulvento (2025) reúnem sensores IoT, computação na borda, visão computacional e contratos inteligentes em um único sistema, mas usam essa combinação para avaliar qualidade e rastrear o produto: o contrato registra dados, não paga ninguém. Maleki Vishkaei, Trindade e De Giovanni (2026) tratam do seguro agrícola e do pagamento automático por contrato inteligente, porém modelam a decisão em teoria dos jogos, sem implementar a ponte que leva o dado até a cadeia. Falta o encontro dos dois: usar a saída de um modelo de visão computacional como parte da condição que aciona o pagamento, com o grau de auditabilidade que um contrato exige.</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 terceira justificativa é econômica e vem de um problema que a literatura de seguros descreve com precisão. Maleki Vishkaei, Trindade e De Giovanni (2026) mostram que a seguradora não enxerga o negócio do produtor por dentro, e essa assimetria de informação abre espaço para que a extensão do dano seja exagerada na hora de pedir indenização. A resposta usual é gastar em verificação, o que encarece a apólice para todo mundo. Os autores demonstram que, quando a seguradora apoia o investimento do produtor em blockchain, a assimetria diminui, as falsas declarações caem e o reembolso passa a ser rápido, sem custo extra de verificação. O AgroSmart persegue esse mesmo efeito por via técnica: se o dado que aciona o contrato vem assinado na origem e fica registrado de forma imutável, não sobra margem para discutir o que foi medido.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Soma-se a isso a disponibilidade de uma base metodológica consistente para a avaliação. Manoj T. et al. (2025) implementam contratos indexados em Solidity e os avaliam tanto em rede simulada quanto em rede de teste pública, reportando consumo de gas por função, latência média, vazão de transações e uso de recursos computacionais. Esse conjunto de métricas serve de referência direta para o plano experimental deste trabalho, o que permite comparar os resultados obtidos com os já publicados, em vez de produzir apenas uma avaliação descritiva.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Por fim, há uma justificativa de ordem acadêmica, ligada à convergência de conteúdos que o projeto proporciona. Nele se articulam criptografia aplicada, sistemas distribuídos, programação de contratos, segurança de software, integração de dispositivos embarcados e aprendizado de máquina, assuntos que o currículo de Engenharia de Computação costuma tratar separadamente.</w:t>
      </w:r>
    </w:p>
    <w:p>
      <w:pPr>
        <w:pStyle w:val="Heading2"/>
        <w:spacing w:after="160" w:before="300" w:line="360"/>
      </w:pPr>
      <w:r>
        <w:rPr>
          <w:rFonts w:ascii="Times New Roman" w:cs="Times New Roman" w:eastAsia="Times New Roman" w:hAnsi="Times New Roman"/>
          <w:b/>
          <w:bCs/>
          <w:color w:val="000000"/>
          <w:sz w:val="24"/>
          <w:szCs w:val="24"/>
        </w:rPr>
        <w:t xml:space="preserve">1.4 Objetivos</w:t>
      </w:r>
    </w:p>
    <w:p>
      <w:pPr>
        <w:pStyle w:val="Heading3"/>
        <w:spacing w:after="140" w:before="240" w:line="360"/>
      </w:pPr>
      <w:r>
        <w:rPr>
          <w:rFonts w:ascii="Times New Roman" w:cs="Times New Roman" w:eastAsia="Times New Roman" w:hAnsi="Times New Roman"/>
          <w:i/>
          <w:iCs/>
          <w:color w:val="000000"/>
          <w:sz w:val="24"/>
          <w:szCs w:val="24"/>
        </w:rPr>
        <w:t xml:space="preserve">1.4.1 Objetivo geral</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Projetar, implementar e avaliar experimentalmente uma arquitetura de ponte auditável entre computação externa e execução contratual em cadeia, materializada em um protótipo no qual contratos inteligentes alimentados por oráculo avaliam condições contratadas sobre dados de lavoura e executam automaticamente a liquidação da indenização.</w:t>
      </w:r>
    </w:p>
    <w:p>
      <w:pPr>
        <w:pStyle w:val="Heading3"/>
        <w:spacing w:after="140" w:before="240" w:line="360"/>
      </w:pPr>
      <w:r>
        <w:rPr>
          <w:rFonts w:ascii="Times New Roman" w:cs="Times New Roman" w:eastAsia="Times New Roman" w:hAnsi="Times New Roman"/>
          <w:i/>
          <w:iCs/>
          <w:color w:val="000000"/>
          <w:sz w:val="24"/>
          <w:szCs w:val="24"/>
        </w:rPr>
        <w:t xml:space="preserve">1.4.2 Objetivos específicos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Levantar e descrever os requisitos funcionais e não funcionais do sistema;</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Delimitar formalmente a fronteira entre os componentes externos e os que operam na cadeia, justificando a alocação de cada responsabilidade;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Representar as interações entre atores, sistemas externos e o sistema por meio de diagrama de casos de uso, e o fluxo de liquidação por meio de diagrama de sequência;</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Implementar, em Solidity, o contrato da apólice e o contrato do oráculo, contemplando registro imutável dos termos, controle de endereços autorizados, avaliação da condição contratada e transferência da indenização;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Implementar o serviço de oráculo responsável por consolidar, assinar e publicar os índices, bem como o simulador que alimenta o sistema com séries climáticas históricas;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Implementar, como módulo auxiliar, um modelo de visão computacional capaz de estimar a incidência de pragas ou a fração de área comprometida no talhão, registrando na cadeia o resumo criptográfico das evidências e o identificador da versão do modelo;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Desenvolver a aplicação do produtor e o painel da seguradora, integrados ao serviço externo e à rede;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Submeter os contratos a análise estática de vulnerabilidades e a testes automatizados que cubram a totalidade dos caminhos condicionais;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Avaliar experimentalmente o protótipo quanto a consumo de gas por função, latência, vazão de transações e comportamento sob indisponibilidade do oráculo, comparando rede local e rede de teste pública.</w:t>
      </w:r>
    </w:p>
    <w:p>
      <w:pPr>
        <w:pStyle w:val="Heading2"/>
        <w:spacing w:after="160" w:before="300" w:line="360"/>
      </w:pPr>
      <w:r>
        <w:rPr>
          <w:rFonts w:ascii="Times New Roman" w:cs="Times New Roman" w:eastAsia="Times New Roman" w:hAnsi="Times New Roman"/>
          <w:b/>
          <w:bCs/>
          <w:color w:val="000000"/>
          <w:sz w:val="24"/>
          <w:szCs w:val="24"/>
        </w:rPr>
        <w:t xml:space="preserve">1.5 Delimitação do escopo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objeto deste trabalho é a prova de conceito da arquitetura proposta, não um produto pronto para comercialização. As delimitações adotadas são as seguintes.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Fontes de campo simuladas. As leituras são geradas por componente simulador alimentado por séries climáticas históricas, e as imagens provêm de conjunto de dados público. Não há instrumentação instalada em campo nem operação de aeronave remotamente pilotada;</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Rede de teste. Os contratos são implantados em rede local e em rede de teste pública, sem movimentação de valores com lastro monetário real;</w:t>
      </w:r>
    </w:p>
    <w:p>
      <w:pPr>
        <w:pStyle w:val="ListParagraph"/>
        <w:numPr>
          <w:ilvl w:val="0"/>
          <w:numId w:val="2"/>
        </w:numPr>
        <w:spacing w:after="80" w:line="300"/>
        <w:jc w:val="both"/>
      </w:pPr>
      <w:r>
        <w:rPr>
          <w:rFonts w:ascii="Times New Roman" w:cs="Times New Roman" w:eastAsia="Times New Roman" w:hAnsi="Times New Roman"/>
          <w:sz w:val="24"/>
          <w:szCs w:val="24"/>
        </w:rPr>
        <w:t xml:space="preserve">Oráculo de nó único. O serviço do protótipo opera com um único endereço autorizado. A arquitetura com múltiplos nós e agregação segura é discutida e apontada como extensão natural, mas não integra a implementação;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Módulo de visão computacional auxiliar. O modelo de inferência destina-se a demonstrar a viabilidade da travessia entre inferência estatística e execução contratual. Não se pretende contribuição ao estado da arte em visão computacional, e a escolha entre detecção de pragas e estimativa de área comprometida será definida conforme a disponibilidade de conjunto de dados rotulado;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Ausência de validação atuarial e regulatória, tratadas em nível conceitual.</w:t>
      </w:r>
    </w:p>
    <w:p>
      <w:pPr>
        <w:pStyle w:val="Heading2"/>
        <w:spacing w:after="160" w:before="300" w:line="360"/>
      </w:pPr>
      <w:r>
        <w:rPr>
          <w:rFonts w:ascii="Times New Roman" w:cs="Times New Roman" w:eastAsia="Times New Roman" w:hAnsi="Times New Roman"/>
          <w:b/>
          <w:bCs/>
          <w:color w:val="000000"/>
          <w:sz w:val="24"/>
          <w:szCs w:val="24"/>
        </w:rPr>
        <w:t xml:space="preserve">1.6 Trabalhos relacionados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Três trabalhos delimitam o espaço em que este projeto se situa. Vale dizer o que cada um resolve e o que deixa em aberto, porque é dessa diferença que sai a contribuição pretendida.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Safeer, Gallo e Pulvento (2025) montam um sistema de agricultura de precisão que reúne exatamente os três elementos deste projeto. Sensores de ambiente coletam dados, um Raspberry Pi processa na borda, módulos de visão computacional fazem avaliação de qualidade e detecção de anomalia em tempo real, e os resultados vão para uma blockchain Ethereum por meio de contratos inteligentes. A validação usa o cultivo de açafrão, com um modelo de cadeias de Markov acompanhando a degradação dos filamentos e apontando possível fraude. A diferença está na finalidade: ali o contrato serve de registro auditável da qualidade ao longo da cadeia, e nenhum valor muda de mãos por causa do que o modelo observou.</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Maleki Vishkaei, Trindade e De Giovanni (2026) olham para o seguro agrícola propriamente dito. Modelam, em teoria dos jogos, a relação entre uma seguradora e um produtor que usa oráculos blockchain para atualizar contratos inteligentes quando ocorre um desastre. O foco está em quando vale a pena a seguradora cofinanciar o investimento do produtor em blockchain, e os autores concluem que a colaboração reduz a taxa do seguro e melhora o resultado das duas partes, embora falhe sob certas condições. O trabalho é econômico, não de engenharia: a ponte entre o dado de campo e o contrato é premissa do modelo, não artefato construído.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Manoj T. et al. (2025) ficam entre os dois. Implementam um oráculo descentralizado com preservação de privacidade que alimenta contratos de seguro indexado com dados de dispositivos IoT, atribuindo a cada dispositivo um escore de reputação que condiciona o uso de suas leituras. A implementação é avaliada em rede simulada e em rede de teste pública, com medição de gas por função, latência e uso de recursos. O gatilho, porém, é climático: não há inferência sobre imagens da lavoura.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AgroSmart ocupa a interseção dos três. Toma de Safeer et al. a composição dos eixos, de Maleki Vishkaei et al. o problema econômico que justifica automatizar o pagamento, e de Manoj T. et al. a aplicação ao seguro indexado e a metodologia de avaliação. O que acrescenta é o acoplamento que nenhum dos três realiza: a saída de um modelo de visão computacional entra como parte da condição que dispara a transferência em cadeia, acompanhada do registro de versão do modelo e do resumo criptográfico das evidências que torna a decisão reproduzível.</w:t>
      </w:r>
    </w:p>
    <w:p>
      <w:pPr>
        <w:spacing w:after="40" w:before="120" w:line="240"/>
        <w:jc w:val="center"/>
      </w:pPr>
      <w:r>
        <w:rPr>
          <w:rFonts w:ascii="Times New Roman" w:cs="Times New Roman" w:eastAsia="Times New Roman" w:hAnsi="Times New Roman"/>
          <w:sz w:val="20"/>
          <w:szCs w:val="20"/>
        </w:rPr>
        <w:t xml:space="preserve">Quadro 1 – Posicionamento em relação aos trabalhos correlatos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150"/>
        <w:gridCol w:w="1300"/>
        <w:gridCol w:w="3121"/>
      </w:tblGrid>
      <w:tr>
        <w:trPr>
          <w:tblHeader/>
        </w:trPr>
        <w:tc>
          <w:tcPr>
            <w:tcW w:type="dxa" w:w="25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Trabalho</w:t>
            </w:r>
          </w:p>
        </w:tc>
        <w:tc>
          <w:tcPr>
            <w:tcW w:type="dxa" w:w="10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IoT</w:t>
            </w:r>
          </w:p>
        </w:tc>
        <w:tc>
          <w:tcPr>
            <w:tcW w:type="dxa" w:w="11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Visão comp.</w:t>
            </w:r>
          </w:p>
        </w:tc>
        <w:tc>
          <w:tcPr>
            <w:tcW w:type="dxa" w:w="13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Contrato</w:t>
            </w:r>
          </w:p>
        </w:tc>
        <w:tc>
          <w:tcPr>
            <w:tcW w:type="dxa" w:w="31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O que o contrato faz</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Safeer, Gallo e Pulvento (2025)</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11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3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Registra qualidade e rastreabilidade; não movimenta valor</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Maleki Vishkaei, Trindade e De Giovanni (2026)</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11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Não</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3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Paga por desastre; a ponte é premissa do modelo, não implementada</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Manoj T. et al. (2025)</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11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Não</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3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Paga por índice climático publicado por oráculo</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AgroSmart (este trabalho)</w:t>
            </w:r>
          </w:p>
        </w:tc>
        <w:tc>
          <w:tcPr>
            <w:tcW w:type="dxa" w:w="1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11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Sim</w:t>
            </w:r>
          </w:p>
        </w:tc>
        <w:tc>
          <w:tcPr>
            <w:tcW w:type="dxa" w:w="3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Paga por índice climático e por índice de dano extraído de imagem</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2"/>
        <w:spacing w:after="160" w:before="300" w:line="360"/>
      </w:pPr>
      <w:r>
        <w:rPr>
          <w:rFonts w:ascii="Times New Roman" w:cs="Times New Roman" w:eastAsia="Times New Roman" w:hAnsi="Times New Roman"/>
          <w:b/>
          <w:bCs/>
          <w:color w:val="000000"/>
          <w:sz w:val="24"/>
          <w:szCs w:val="24"/>
        </w:rPr>
        <w:t xml:space="preserve">1.7 Estrutura do trabalho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Este documento reúne seis capítulos. O atual situa o problema, delimita o escopo e apresenta os objetivos. O Capítulo 2 descreve os casos de uso e os atores. O Capítulo 3 apresenta a arquitetura do sistema e a fronteira entre os componentes que operam fora da cadeia e os que operam dentro dela. O Capítulo 4 relaciona os requisitos funcionais e não funcionais. O Capítulo 5 traz a modelagem em UML, com os diagramas de classes e de sequência. O Capítulo 6 apresenta o backlog em histórias de usuário, a divisão em sprints e o cronograma de entregas.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As etapas seguintes do trabalho contemplarão a fundamentação teórica sobre criptografia aplicada, estrutura e consenso da blockchain, contratos inteligentes e o problema do oráculo, além do plano de avaliação experimental do protótipo.</w:t>
      </w:r>
    </w:p>
    <w:p>
      <w:r>
        <w:br w:type="page"/>
      </w:r>
    </w:p>
    <w:p>
      <w:pPr>
        <w:pStyle w:val="Heading1"/>
        <w:spacing w:after="240" w:before="360" w:line="360"/>
      </w:pPr>
      <w:r>
        <w:rPr>
          <w:rFonts w:ascii="Times New Roman" w:cs="Times New Roman" w:eastAsia="Times New Roman" w:hAnsi="Times New Roman"/>
          <w:b/>
          <w:bCs/>
          <w:color w:val="000000"/>
          <w:sz w:val="24"/>
          <w:szCs w:val="24"/>
        </w:rPr>
        <w:t xml:space="preserve">2 CASOS DE USO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sistema tem 15 casos de uso e 7 atores. A seção apresenta os atores, uma visão consolidada do diagrama, duas visões ampliadas e, por fim, a descrição de cada caso de uso.</w:t>
      </w:r>
    </w:p>
    <w:p>
      <w:pPr>
        <w:pStyle w:val="Heading2"/>
        <w:spacing w:after="160" w:before="300" w:line="360"/>
      </w:pPr>
      <w:r>
        <w:rPr>
          <w:rFonts w:ascii="Times New Roman" w:cs="Times New Roman" w:eastAsia="Times New Roman" w:hAnsi="Times New Roman"/>
          <w:b/>
          <w:bCs/>
          <w:color w:val="000000"/>
          <w:sz w:val="24"/>
          <w:szCs w:val="24"/>
        </w:rPr>
        <w:t xml:space="preserve">2.1 Atores</w:t>
      </w:r>
    </w:p>
    <w:p>
      <w:pPr>
        <w:spacing w:after="40" w:before="120" w:line="240"/>
        <w:jc w:val="center"/>
      </w:pPr>
      <w:r>
        <w:rPr>
          <w:rFonts w:ascii="Times New Roman" w:cs="Times New Roman" w:eastAsia="Times New Roman" w:hAnsi="Times New Roman"/>
          <w:sz w:val="20"/>
          <w:szCs w:val="20"/>
        </w:rPr>
        <w:t xml:space="preserve">Quadro 2 – Atores do sistema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5821"/>
      </w:tblGrid>
      <w:tr>
        <w:trPr>
          <w:tblHeader/>
        </w:trPr>
        <w:tc>
          <w:tcPr>
            <w:tcW w:type="dxa" w:w="20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Ator</w:t>
            </w:r>
          </w:p>
        </w:tc>
        <w:tc>
          <w:tcPr>
            <w:tcW w:type="dxa" w:w="12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Tipo</w:t>
            </w:r>
          </w:p>
        </w:tc>
        <w:tc>
          <w:tcPr>
            <w:tcW w:type="dxa" w:w="58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O que faz no sistema</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Produtor Rural</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Principal</w:t>
            </w:r>
          </w:p>
        </w:tc>
        <w:tc>
          <w:tcPr>
            <w:tcW w:type="dxa" w:w="58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Simula, contrata e acompanha apólices, envia imagens do talhão e recebe a indenização.</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Seguradora</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Principal</w:t>
            </w:r>
          </w:p>
        </w:tc>
        <w:tc>
          <w:tcPr>
            <w:tcW w:type="dxa" w:w="58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Cadastra produtores e talhões, parametriza os produtos e acompanha a carteira.</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Perito Agrônomo</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Principal</w:t>
            </w:r>
          </w:p>
        </w:tc>
        <w:tc>
          <w:tcPr>
            <w:tcW w:type="dxa" w:w="58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Atua por exceção, em contestações e nos casos de baixa confiança do modelo.</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Sensores IoT e estações</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Secundário</w:t>
            </w:r>
          </w:p>
        </w:tc>
        <w:tc>
          <w:tcPr>
            <w:tcW w:type="dxa" w:w="58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Enviam as leituras climáticas. No protótipo, são simulados.</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Oráculo blockchain</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Secundário</w:t>
            </w:r>
          </w:p>
        </w:tc>
        <w:tc>
          <w:tcPr>
            <w:tcW w:type="dxa" w:w="58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Consolida, assina e publica os índices na rede.</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Rede blockchain e carteira</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Secundário</w:t>
            </w:r>
          </w:p>
        </w:tc>
        <w:tc>
          <w:tcPr>
            <w:tcW w:type="dxa" w:w="58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Hospeda os contratos e executa a transferência da indenização.</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Serviço de notificação</w:t>
            </w:r>
          </w:p>
        </w:tc>
        <w:tc>
          <w:tcPr>
            <w:tcW w:type="dxa" w:w="12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Secundário</w:t>
            </w:r>
          </w:p>
        </w:tc>
        <w:tc>
          <w:tcPr>
            <w:tcW w:type="dxa" w:w="58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Envia mensagens por aplicativo, e-mail e SMS.</w:t>
            </w:r>
          </w:p>
        </w:tc>
      </w:tr>
    </w:tbl>
    <w:p>
      <w:pPr>
        <w:spacing w:after="220" w:line="240"/>
        <w:jc w:val="center"/>
      </w:pPr>
      <w:r>
        <w:rPr>
          <w:rFonts w:ascii="Times New Roman" w:cs="Times New Roman" w:eastAsia="Times New Roman" w:hAnsi="Times New Roman"/>
          <w:sz w:val="20"/>
          <w:szCs w:val="20"/>
        </w:rPr>
        <w:t xml:space="preserve">Fonte: elaborado pelos autores (2026).</w:t>
      </w:r>
    </w:p>
    <w:p>
      <w:r>
        <w:br w:type="page"/>
      </w:r>
    </w:p>
    <w:p>
      <w:pPr>
        <w:pStyle w:val="Heading2"/>
        <w:spacing w:after="160" w:before="300" w:line="360"/>
      </w:pPr>
      <w:r>
        <w:rPr>
          <w:rFonts w:ascii="Times New Roman" w:cs="Times New Roman" w:eastAsia="Times New Roman" w:hAnsi="Times New Roman"/>
          <w:b/>
          <w:bCs/>
          <w:color w:val="000000"/>
          <w:sz w:val="24"/>
          <w:szCs w:val="24"/>
        </w:rPr>
        <w:t xml:space="preserve">2.2 Visão consolidada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 Figura 1 reúne os 15 casos de uso em um único diagrama, separados em dois grupos. Serve para a visão de conjunto; as relações entre casos de uso aparecem nas figuras seguintes.</w:t>
      </w:r>
    </w:p>
    <w:p>
      <w:pPr>
        <w:spacing w:after="0" w:before="160"/>
        <w:jc w:val="center"/>
      </w:pPr>
      <w:r>
        <w:drawing>
          <wp:inline distT="0" distB="0" distL="0" distR="0">
            <wp:extent cx="38100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105400"/>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1 – Diagrama de casos de uso consolidado</w:t>
      </w:r>
    </w:p>
    <w:p>
      <w:pPr>
        <w:spacing w:after="220" w:line="240"/>
        <w:jc w:val="center"/>
      </w:pPr>
      <w:r>
        <w:rPr>
          <w:rFonts w:ascii="Times New Roman" w:cs="Times New Roman" w:eastAsia="Times New Roman" w:hAnsi="Times New Roman"/>
          <w:sz w:val="20"/>
          <w:szCs w:val="20"/>
        </w:rPr>
        <w:t xml:space="preserve">Fonte: elaborado pelos autores (2026).</w:t>
      </w:r>
    </w:p>
    <w:p>
      <w:r>
        <w:br w:type="page"/>
      </w:r>
    </w:p>
    <w:p>
      <w:pPr>
        <w:pStyle w:val="Heading2"/>
        <w:spacing w:after="160" w:before="300" w:line="360"/>
      </w:pPr>
      <w:r>
        <w:rPr>
          <w:rFonts w:ascii="Times New Roman" w:cs="Times New Roman" w:eastAsia="Times New Roman" w:hAnsi="Times New Roman"/>
          <w:b/>
          <w:bCs/>
          <w:color w:val="000000"/>
          <w:sz w:val="24"/>
          <w:szCs w:val="24"/>
        </w:rPr>
        <w:t xml:space="preserve">2.3 Visão detalhada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 Figura 2 amplia o grupo A: o que os usuários humanos fazem para contratar e gerir a apólice.</w:t>
      </w:r>
    </w:p>
    <w:p>
      <w:pPr>
        <w:spacing w:after="0" w:before="160"/>
        <w:jc w:val="center"/>
      </w:pPr>
      <w:r>
        <w:drawing>
          <wp:inline distT="0" distB="0" distL="0" distR="0">
            <wp:extent cx="44767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771900"/>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2 – Casos de uso: contratação e gestão da apólice</w:t>
      </w:r>
    </w:p>
    <w:p>
      <w:pPr>
        <w:spacing w:after="220" w:line="240"/>
        <w:jc w:val="center"/>
      </w:pPr>
      <w:r>
        <w:rPr>
          <w:rFonts w:ascii="Times New Roman" w:cs="Times New Roman" w:eastAsia="Times New Roman" w:hAnsi="Times New Roman"/>
          <w:sz w:val="20"/>
          <w:szCs w:val="20"/>
        </w:rPr>
        <w:t xml:space="preserve">Fonte: elaborado pelos autores (2026).</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 Figura 3 amplia o grupo B e deve ser lida de cima para baixo. Os dois casos de uso do topo alimentam a análise; o resultado é publicado na rede pelo oráculo; o contrato avalia a condição e, se atendida, paga e notifica.</w:t>
      </w:r>
    </w:p>
    <w:p>
      <w:pPr>
        <w:spacing w:after="0" w:before="160"/>
        <w:jc w:val="center"/>
      </w:pPr>
      <w:r>
        <w:drawing>
          <wp:inline distT="0" distB="0" distL="0" distR="0">
            <wp:extent cx="4191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695825"/>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3 – Casos de uso: apuração automática e liquidação</w:t>
      </w:r>
    </w:p>
    <w:p>
      <w:pPr>
        <w:spacing w:after="220" w:line="240"/>
        <w:jc w:val="center"/>
      </w:pPr>
      <w:r>
        <w:rPr>
          <w:rFonts w:ascii="Times New Roman" w:cs="Times New Roman" w:eastAsia="Times New Roman" w:hAnsi="Times New Roman"/>
          <w:sz w:val="20"/>
          <w:szCs w:val="20"/>
        </w:rPr>
        <w:t xml:space="preserve">Fonte: elaborado pelos autores (2026).</w:t>
      </w:r>
    </w:p>
    <w:p>
      <w:r>
        <w:br w:type="page"/>
      </w:r>
    </w:p>
    <w:p>
      <w:pPr>
        <w:pStyle w:val="Heading2"/>
        <w:spacing w:after="160" w:before="300" w:line="360"/>
      </w:pPr>
      <w:r>
        <w:rPr>
          <w:rFonts w:ascii="Times New Roman" w:cs="Times New Roman" w:eastAsia="Times New Roman" w:hAnsi="Times New Roman"/>
          <w:b/>
          <w:bCs/>
          <w:color w:val="000000"/>
          <w:sz w:val="24"/>
          <w:szCs w:val="24"/>
        </w:rPr>
        <w:t xml:space="preserve">2.4 Descrição dos casos de uso</w:t>
      </w:r>
    </w:p>
    <w:p>
      <w:pPr>
        <w:spacing w:after="40" w:before="120" w:line="240"/>
        <w:jc w:val="center"/>
      </w:pPr>
      <w:r>
        <w:rPr>
          <w:rFonts w:ascii="Times New Roman" w:cs="Times New Roman" w:eastAsia="Times New Roman" w:hAnsi="Times New Roman"/>
          <w:sz w:val="20"/>
          <w:szCs w:val="20"/>
        </w:rPr>
        <w:t xml:space="preserve">Quadro 3 – Casos de uso do sistema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1750"/>
        <w:gridCol w:w="4171"/>
        <w:gridCol w:w="700"/>
      </w:tblGrid>
      <w:tr>
        <w:trPr>
          <w:tblHeader/>
        </w:trPr>
        <w:tc>
          <w:tcPr>
            <w:tcW w:type="dxa" w:w="7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17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Caso de uso</w:t>
            </w:r>
          </w:p>
        </w:tc>
        <w:tc>
          <w:tcPr>
            <w:tcW w:type="dxa" w:w="17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Ator principal</w:t>
            </w:r>
          </w:p>
        </w:tc>
        <w:tc>
          <w:tcPr>
            <w:tcW w:type="dxa" w:w="41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Objetivo</w:t>
            </w:r>
          </w:p>
        </w:tc>
        <w:tc>
          <w:tcPr>
            <w:tcW w:type="dxa" w:w="7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Fig.</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UC01</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Autenticar-se no sistema</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Produtor, Seguradora ou Perito</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Obter acesso às funcionalidades do seu perfil.</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UC02</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Cadastrar produtor e talhão</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Seguradora</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Registrar o produtor e delimitar os talhões seguráveis.</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UC03</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Configurar produto indexado</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Seguradora</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Definir cultura, índice, condição de acionamento, vigência e limite.</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UC04</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Simular cotação</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Produtor Rural</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Estimar o prêmio a partir da área, da cultura e do histórico climático.</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UC05</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Contratar apólice</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Produtor Rural</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Formalizar a cobertura e implantar o contrato na rede.</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UC06</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Consultar apólice e histórico</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Produtor Rural</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Acompanhar a apólice e a linha do tempo reconstruída da rede.</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UC07</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Coletar dados de sensores</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Sensores IoT e estações</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Obter periodicamente as leituras climáticas do talhão.</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UC08</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Enviar imagens do talhão</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Produtor Rural</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Fornecer evidência visual georreferenciada da lavoura.</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UC09</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Analisar imagens da lavoura</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Sistema (automático)</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Estimar o índice de dano e registrar confiança e versão do modelo.</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UC10</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Publicar dados via oráculo</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Oráculo blockchain</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Consolidar, assinar e submeter à rede os índices do período.</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UC11</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Avaliar condição contratada</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Rede blockchain</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Validar a origem do dado e decidir se a condição foi atendida.</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UC12</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Executar pagamento</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Rede blockchain e carteira</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Transferir o valor devido à carteira do produtor.</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UC13</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Notificar partes</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Serviço de notificação</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Comunicar acionamento, pagamento e falhas de publicação.</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UC14</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Contestar avaliação</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Produtor e Perito Agrônomo</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Registrar discordância e submetê-la a parecer técnico.</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UC15</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Gerar relatórios e indicadores</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Seguradora</w:t>
            </w:r>
          </w:p>
        </w:tc>
        <w:tc>
          <w:tcPr>
            <w:tcW w:type="dxa" w:w="4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Acompanhar o desempenho da carteira e a liquidação.</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2"/>
        <w:spacing w:after="160" w:before="300" w:line="360"/>
      </w:pPr>
      <w:r>
        <w:rPr>
          <w:rFonts w:ascii="Times New Roman" w:cs="Times New Roman" w:eastAsia="Times New Roman" w:hAnsi="Times New Roman"/>
          <w:b/>
          <w:bCs/>
          <w:color w:val="000000"/>
          <w:sz w:val="24"/>
          <w:szCs w:val="24"/>
        </w:rPr>
        <w:t xml:space="preserve">2.5 Relações entre casos de uso</w:t>
      </w:r>
    </w:p>
    <w:p>
      <w:pPr>
        <w:spacing w:after="40" w:before="120" w:line="240"/>
        <w:jc w:val="center"/>
      </w:pPr>
      <w:r>
        <w:rPr>
          <w:rFonts w:ascii="Times New Roman" w:cs="Times New Roman" w:eastAsia="Times New Roman" w:hAnsi="Times New Roman"/>
          <w:sz w:val="20"/>
          <w:szCs w:val="20"/>
        </w:rPr>
        <w:t xml:space="preserve">Quadro 4 – Relações entre casos de uso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71"/>
      </w:tblGrid>
      <w:tr>
        <w:trPr>
          <w:tblHeader/>
        </w:trPr>
        <w:tc>
          <w:tcPr>
            <w:tcW w:type="dxa" w:w="17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Relação</w:t>
            </w:r>
          </w:p>
        </w:tc>
        <w:tc>
          <w:tcPr>
            <w:tcW w:type="dxa" w:w="13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Tipo</w:t>
            </w:r>
          </w:p>
        </w:tc>
        <w:tc>
          <w:tcPr>
            <w:tcW w:type="dxa" w:w="60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Por quê</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UC02 a UC15 → UC01</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include</w:t>
            </w:r>
          </w:p>
        </w:tc>
        <w:tc>
          <w:tcPr>
            <w:tcW w:type="dxa" w:w="6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Exigem autenticação prévia. Omitido das figuras para não poluir.</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UC10 → UC07</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include</w:t>
            </w:r>
          </w:p>
        </w:tc>
        <w:tc>
          <w:tcPr>
            <w:tcW w:type="dxa" w:w="6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Só publica leituras previamente coletadas.</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UC10 → UC09</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include</w:t>
            </w:r>
          </w:p>
        </w:tc>
        <w:tc>
          <w:tcPr>
            <w:tcW w:type="dxa" w:w="6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Só publica o índice de dano depois da análise.</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UC09 → UC08</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include</w:t>
            </w:r>
          </w:p>
        </w:tc>
        <w:tc>
          <w:tcPr>
            <w:tcW w:type="dxa" w:w="6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 análise depende das imagens enviadas.</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UC11 → UC10</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include</w:t>
            </w:r>
          </w:p>
        </w:tc>
        <w:tc>
          <w:tcPr>
            <w:tcW w:type="dxa" w:w="6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 avaliação opera sobre dados já presentes na cadeia.</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UC12 → UC11</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extend</w:t>
            </w:r>
          </w:p>
        </w:tc>
        <w:tc>
          <w:tcPr>
            <w:tcW w:type="dxa" w:w="6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Só executa quando a condição é atendida.</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UC13 → UC12, UC11</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extend</w:t>
            </w:r>
          </w:p>
        </w:tc>
        <w:tc>
          <w:tcPr>
            <w:tcW w:type="dxa" w:w="6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Dispara no pagamento e em alertas.</w:t>
            </w:r>
          </w:p>
        </w:tc>
      </w:tr>
      <w:tr>
        <w:trPr>
          <w:tblHeader w:val="false"/>
        </w:trP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UC14 → UC11</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extend</w:t>
            </w:r>
          </w:p>
        </w:tc>
        <w:tc>
          <w:tcPr>
            <w:tcW w:type="dxa" w:w="6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Só ocorre se o produtor discordar do resultado.</w:t>
            </w:r>
          </w:p>
        </w:tc>
      </w:tr>
    </w:tbl>
    <w:p>
      <w:pPr>
        <w:spacing w:after="220" w:line="240"/>
        <w:jc w:val="center"/>
      </w:pPr>
      <w:r>
        <w:rPr>
          <w:rFonts w:ascii="Times New Roman" w:cs="Times New Roman" w:eastAsia="Times New Roman" w:hAnsi="Times New Roman"/>
          <w:sz w:val="20"/>
          <w:szCs w:val="20"/>
        </w:rPr>
        <w:t xml:space="preserve">Fonte: elaborado pelos autores (2026).</w:t>
      </w:r>
    </w:p>
    <w:p>
      <w:r>
        <w:br w:type="page"/>
      </w:r>
    </w:p>
    <w:p>
      <w:pPr>
        <w:pStyle w:val="Heading1"/>
        <w:spacing w:after="240" w:before="360" w:line="360"/>
      </w:pPr>
      <w:r>
        <w:rPr>
          <w:rFonts w:ascii="Times New Roman" w:cs="Times New Roman" w:eastAsia="Times New Roman" w:hAnsi="Times New Roman"/>
          <w:b/>
          <w:bCs/>
          <w:color w:val="000000"/>
          <w:sz w:val="24"/>
          <w:szCs w:val="24"/>
        </w:rPr>
        <w:t xml:space="preserve">3 ARQUITETURA DO SISTEMA</w:t>
      </w:r>
    </w:p>
    <w:p>
      <w:pPr>
        <w:pStyle w:val="Heading2"/>
        <w:spacing w:after="160" w:before="300" w:line="360"/>
      </w:pPr>
      <w:r>
        <w:rPr>
          <w:rFonts w:ascii="Times New Roman" w:cs="Times New Roman" w:eastAsia="Times New Roman" w:hAnsi="Times New Roman"/>
          <w:b/>
          <w:bCs/>
          <w:color w:val="000000"/>
          <w:sz w:val="24"/>
          <w:szCs w:val="24"/>
        </w:rPr>
        <w:t xml:space="preserve">3.1 Camadas e componentes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sistema se organiza em cinco camadas. As três superiores rodam em servidor comum; a camada de ponte faz a travessia; a inferior roda na rede blockchain.</w:t>
      </w:r>
    </w:p>
    <w:p>
      <w:pPr>
        <w:spacing w:after="0" w:before="160"/>
        <w:jc w:val="center"/>
      </w:pPr>
      <w:r>
        <w:drawing>
          <wp:inline distT="0" distB="0" distL="0" distR="0">
            <wp:extent cx="54292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895725"/>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4 – Arquitetura do sistema em camadas</w:t>
      </w:r>
    </w:p>
    <w:p>
      <w:pPr>
        <w:spacing w:after="220" w:line="240"/>
        <w:jc w:val="center"/>
      </w:pPr>
      <w:r>
        <w:rPr>
          <w:rFonts w:ascii="Times New Roman" w:cs="Times New Roman" w:eastAsia="Times New Roman" w:hAnsi="Times New Roman"/>
          <w:sz w:val="20"/>
          <w:szCs w:val="20"/>
        </w:rPr>
        <w:t xml:space="preserve">Fonte: elaborado pelos autores (2026).</w:t>
      </w:r>
    </w:p>
    <w:p>
      <w:pPr>
        <w:pStyle w:val="Heading2"/>
        <w:spacing w:after="160" w:before="300" w:line="360"/>
      </w:pPr>
      <w:r>
        <w:rPr>
          <w:rFonts w:ascii="Times New Roman" w:cs="Times New Roman" w:eastAsia="Times New Roman" w:hAnsi="Times New Roman"/>
          <w:b/>
          <w:bCs/>
          <w:color w:val="000000"/>
          <w:sz w:val="24"/>
          <w:szCs w:val="24"/>
        </w:rPr>
        <w:t xml:space="preserve">3.2 A fronteira de confiança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 decisão mais importante do projeto é separar o que roda fora da cadeia do que roda dentro dela. O critério é direto: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Fora da cadeia fica o que é pesado, probabilístico ou muda com frequência: ingestão de leituras, inferência do modelo, armazenamento de imagens e interfaces.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Na cadeia fica o que precisa ser confiável sem depender de quem executa: termos da apólice, endereços autorizados, avaliação da condição e transferência de valor.</w:t>
      </w:r>
    </w:p>
    <w:p>
      <w:pPr>
        <w:spacing w:after="0" w:before="160"/>
        <w:jc w:val="center"/>
      </w:pPr>
      <w:r>
        <w:drawing>
          <wp:inline distT="0" distB="0" distL="0" distR="0">
            <wp:extent cx="5238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028950"/>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5 – A fronteira entre as duas camadas</w:t>
      </w:r>
    </w:p>
    <w:p>
      <w:pPr>
        <w:spacing w:after="220" w:line="240"/>
        <w:jc w:val="center"/>
      </w:pPr>
      <w:r>
        <w:rPr>
          <w:rFonts w:ascii="Times New Roman" w:cs="Times New Roman" w:eastAsia="Times New Roman" w:hAnsi="Times New Roman"/>
          <w:sz w:val="20"/>
          <w:szCs w:val="20"/>
        </w:rPr>
        <w:t xml:space="preserve">Fonte: elaborado pelos autores (2026).</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Um ponto merece atenção: o contrato não verifica se o índice está correto, apenas se quem publicou tinha autorização. A confiança na inferência vem do registro do resumo criptográfico das imagens, da versão do modelo e da possibilidade de reexecutar a análise depois.</w:t>
      </w:r>
    </w:p>
    <w:p>
      <w:pPr>
        <w:pStyle w:val="Heading2"/>
        <w:spacing w:after="160" w:before="300" w:line="360"/>
      </w:pPr>
      <w:r>
        <w:rPr>
          <w:rFonts w:ascii="Times New Roman" w:cs="Times New Roman" w:eastAsia="Times New Roman" w:hAnsi="Times New Roman"/>
          <w:b/>
          <w:bCs/>
          <w:color w:val="000000"/>
          <w:sz w:val="24"/>
          <w:szCs w:val="24"/>
        </w:rPr>
        <w:t xml:space="preserve">3.3 Tecnologias adotadas</w:t>
      </w:r>
    </w:p>
    <w:p>
      <w:pPr>
        <w:spacing w:after="40" w:before="120" w:line="240"/>
        <w:jc w:val="center"/>
      </w:pPr>
      <w:r>
        <w:rPr>
          <w:rFonts w:ascii="Times New Roman" w:cs="Times New Roman" w:eastAsia="Times New Roman" w:hAnsi="Times New Roman"/>
          <w:sz w:val="20"/>
          <w:szCs w:val="20"/>
        </w:rPr>
        <w:t xml:space="preserve">Quadro 5 – Tecnologias por componente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71"/>
      </w:tblGrid>
      <w:tr>
        <w:trPr>
          <w:tblHeader/>
        </w:trPr>
        <w:tc>
          <w:tcPr>
            <w:tcW w:type="dxa" w:w="24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Componente</w:t>
            </w:r>
          </w:p>
        </w:tc>
        <w:tc>
          <w:tcPr>
            <w:tcW w:type="dxa" w:w="26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Tecnologia</w:t>
            </w:r>
          </w:p>
        </w:tc>
        <w:tc>
          <w:tcPr>
            <w:tcW w:type="dxa" w:w="40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Por que essa escolha</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Contratos</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Solidity + Hardhat</w:t>
            </w:r>
          </w:p>
        </w:tc>
        <w:tc>
          <w:tcPr>
            <w:tcW w:type="dxa" w:w="4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Hardhat oferece rede local, testes e relatório de gas em um só ambiente.</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Rede</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Sepolia (rede de teste)</w:t>
            </w:r>
          </w:p>
        </w:tc>
        <w:tc>
          <w:tcPr>
            <w:tcW w:type="dxa" w:w="4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Gas gratuito por faucet e explorador público para verificação independente.</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Serviço de oráculo</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Node.js + ethers.js</w:t>
            </w:r>
          </w:p>
        </w:tc>
        <w:tc>
          <w:tcPr>
            <w:tcW w:type="dxa" w:w="4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Mesma linguagem do back-end e biblioteca madura de assinatura.</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API e ingestão</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Node.js + Express</w:t>
            </w:r>
          </w:p>
        </w:tc>
        <w:tc>
          <w:tcPr>
            <w:tcW w:type="dxa" w:w="4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Curva de aprendizado baixa e integração direta com ethers.js.</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Banco de dados</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PostgreSQL + PostGIS</w:t>
            </w:r>
          </w:p>
        </w:tc>
        <w:tc>
          <w:tcPr>
            <w:tcW w:type="dxa" w:w="4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PostGIS resolve o polígono do talhão e a checagem de ponto em área.</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Simulador de sensores</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Python + MQTT</w:t>
            </w:r>
          </w:p>
        </w:tc>
        <w:tc>
          <w:tcPr>
            <w:tcW w:type="dxa" w:w="4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MQTT é o protocolo usual de IoT; séries históricas do INMET dão realismo.</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Visão computacional</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Python + PyTorch + FastAPI</w:t>
            </w:r>
          </w:p>
        </w:tc>
        <w:tc>
          <w:tcPr>
            <w:tcW w:type="dxa" w:w="4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Transferência de aprendizado com modelo pré-treinado reduz o custo de treino.</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Interfaces</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React + ethers.js</w:t>
            </w:r>
          </w:p>
        </w:tc>
        <w:tc>
          <w:tcPr>
            <w:tcW w:type="dxa" w:w="40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ethers.js conecta a carteira do produtor direto no navegador.</w:t>
            </w:r>
          </w:p>
        </w:tc>
      </w:tr>
    </w:tbl>
    <w:p>
      <w:pPr>
        <w:spacing w:after="220" w:line="240"/>
        <w:jc w:val="center"/>
      </w:pPr>
      <w:r>
        <w:rPr>
          <w:rFonts w:ascii="Times New Roman" w:cs="Times New Roman" w:eastAsia="Times New Roman" w:hAnsi="Times New Roman"/>
          <w:sz w:val="20"/>
          <w:szCs w:val="20"/>
        </w:rPr>
        <w:t xml:space="preserve">Fonte: elaborado pelos autores (2026).</w:t>
      </w:r>
    </w:p>
    <w:p>
      <w:r>
        <w:br w:type="page"/>
      </w:r>
    </w:p>
    <w:p>
      <w:pPr>
        <w:pStyle w:val="Heading1"/>
        <w:spacing w:after="240" w:before="360" w:line="360"/>
      </w:pPr>
      <w:r>
        <w:rPr>
          <w:rFonts w:ascii="Times New Roman" w:cs="Times New Roman" w:eastAsia="Times New Roman" w:hAnsi="Times New Roman"/>
          <w:b/>
          <w:bCs/>
          <w:color w:val="000000"/>
          <w:sz w:val="24"/>
          <w:szCs w:val="24"/>
        </w:rPr>
        <w:t xml:space="preserve">4 REQUISITOS</w:t>
      </w:r>
    </w:p>
    <w:p>
      <w:pPr>
        <w:pStyle w:val="Heading2"/>
        <w:spacing w:after="160" w:before="300" w:line="360"/>
      </w:pPr>
      <w:r>
        <w:rPr>
          <w:rFonts w:ascii="Times New Roman" w:cs="Times New Roman" w:eastAsia="Times New Roman" w:hAnsi="Times New Roman"/>
          <w:b/>
          <w:bCs/>
          <w:color w:val="000000"/>
          <w:sz w:val="24"/>
          <w:szCs w:val="24"/>
        </w:rPr>
        <w:t xml:space="preserve">4.1 Requisitos funcionais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São 28 requisitos funcionais em sete grupos. A coluna Prioridade segue a classificação MoSCoW; a coluna Camada indica onde o requisito é atendido, conforme a Figura 5.</w:t>
      </w:r>
    </w:p>
    <w:p>
      <w:pPr>
        <w:spacing w:after="0" w:before="160"/>
        <w:jc w:val="center"/>
      </w:pPr>
      <w:r>
        <w:drawing>
          <wp:inline distT="0" distB="0" distL="0" distR="0">
            <wp:extent cx="52387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828925"/>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6 – Distribuição dos requisitos funcionais por camada</w:t>
      </w:r>
    </w:p>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4.1.1 Cadastro, autenticação e identidade digital</w:t>
      </w:r>
    </w:p>
    <w:p>
      <w:pPr>
        <w:spacing w:after="40" w:before="120" w:line="240"/>
        <w:jc w:val="center"/>
      </w:pPr>
      <w:r>
        <w:rPr>
          <w:rFonts w:ascii="Times New Roman" w:cs="Times New Roman" w:eastAsia="Times New Roman" w:hAnsi="Times New Roman"/>
          <w:sz w:val="20"/>
          <w:szCs w:val="20"/>
        </w:rPr>
        <w:t xml:space="preserve">Quadro 6 – Requisitos funcionais: cadastro e identidade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6121"/>
        <w:gridCol w:w="1050"/>
        <w:gridCol w:w="1050"/>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61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Prioridade</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Camada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RF01</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login de produtores, seguradoras e peritos com identificador e senha, com segundo fator.</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RF02</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que o produtor associe uma carteira digital ao cadastro, validando a titularidade por assinatura de mensagem.</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Ponte</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RF03</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o cadastro de produtores e propriedades, com delimitação georreferenciada dos talhões.</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RF04</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Controlar o acesso por perfil, restringindo funcionalidades conforme o perfil autenticado.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4.1.2 Ciclo da apólice e implantação do contrato</w:t>
      </w:r>
    </w:p>
    <w:p>
      <w:pPr>
        <w:spacing w:after="40" w:before="120" w:line="240"/>
        <w:jc w:val="center"/>
      </w:pPr>
      <w:r>
        <w:rPr>
          <w:rFonts w:ascii="Times New Roman" w:cs="Times New Roman" w:eastAsia="Times New Roman" w:hAnsi="Times New Roman"/>
          <w:sz w:val="20"/>
          <w:szCs w:val="20"/>
        </w:rPr>
        <w:t xml:space="preserve">Quadro 7 – Requisitos funcionais: ciclo da apólice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6121"/>
        <w:gridCol w:w="1050"/>
        <w:gridCol w:w="1050"/>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61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Prioridade</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Camada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RF05</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que a seguradora configure produtos indexados: cultura, índice, condição, vigência, limite e valor por hectare.</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RF06</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a simulação de cotação a partir da área segurada, da cultura e do histórico climático.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RF07</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Implantar na rede, na contratação, o contrato da apólice parametrizado com a condição, a carteira e o oráculo autorizado.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RF08</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Registrar no contrato o resumo criptográfico dos termos, tornando detectável qualquer alteração posterior.</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RF09</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consultar a linha do tempo da apólice reconstruída dos eventos, com o identificador de cada transação.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Ponte</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RF10</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o cancelamento da apólice antes da vigência, com liberação da garantia.</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Desejável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4.1.3 Coleta e validação de dados de campo</w:t>
      </w:r>
    </w:p>
    <w:p>
      <w:pPr>
        <w:spacing w:after="40" w:before="120" w:line="240"/>
        <w:jc w:val="center"/>
      </w:pPr>
      <w:r>
        <w:rPr>
          <w:rFonts w:ascii="Times New Roman" w:cs="Times New Roman" w:eastAsia="Times New Roman" w:hAnsi="Times New Roman"/>
          <w:sz w:val="20"/>
          <w:szCs w:val="20"/>
        </w:rPr>
        <w:t xml:space="preserve">Quadro 8 – Requisitos funcionais: coleta de 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6121"/>
        <w:gridCol w:w="1050"/>
        <w:gridCol w:w="1050"/>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61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Prioridade</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Camada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RF11</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Coletar automaticamente, em periodicidade configurável, as leituras de estações e sensores do talhão.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RF12</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Validar a plausibilidade das leituras e sinalizar fontes inoperantes ou fora de faixa.</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RF13</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Atribuir a cada fonte um escore de reputação, condicionando o uso dos dados a um limiar mínimo.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Importante</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RF14</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o envio de imagens com geolocalização e data, rejeitando as que caiam fora do polígono do talhão.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4.1.4 Módulo de visão computacional</w:t>
      </w:r>
    </w:p>
    <w:p>
      <w:pPr>
        <w:spacing w:after="40" w:before="120" w:line="240"/>
        <w:jc w:val="center"/>
      </w:pPr>
      <w:r>
        <w:rPr>
          <w:rFonts w:ascii="Times New Roman" w:cs="Times New Roman" w:eastAsia="Times New Roman" w:hAnsi="Times New Roman"/>
          <w:sz w:val="20"/>
          <w:szCs w:val="20"/>
        </w:rPr>
        <w:t xml:space="preserve">Quadro 9 – Requisitos funcionais: visão computacional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6121"/>
        <w:gridCol w:w="1050"/>
        <w:gridCol w:w="1050"/>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61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Prioridade</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Camada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RF15</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Processar as imagens por modelo de visão computacional e produzir um índice de dano normalizado.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RF16</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Registrar, junto ao resultado, o grau de confiança, a versão do modelo e o resumo criptográfico das imagens.</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Ponte</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RF17</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Encaminhar ao perito os resultados com confiança abaixo do limiar, suspendendo a publicação.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Importante</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Externa</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4.1.5 Oráculo e ponte de dados</w:t>
      </w:r>
    </w:p>
    <w:p>
      <w:pPr>
        <w:spacing w:after="40" w:before="120" w:line="240"/>
        <w:jc w:val="center"/>
      </w:pPr>
      <w:r>
        <w:rPr>
          <w:rFonts w:ascii="Times New Roman" w:cs="Times New Roman" w:eastAsia="Times New Roman" w:hAnsi="Times New Roman"/>
          <w:sz w:val="20"/>
          <w:szCs w:val="20"/>
        </w:rPr>
        <w:t xml:space="preserve">Quadro 10 – Requisitos funcionais: oráculo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6121"/>
        <w:gridCol w:w="1050"/>
        <w:gridCol w:w="1050"/>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61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Prioridade</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Camada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RF18</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Manter no contrato a lista de endereços autorizados e rejeitar publicação de qualquer outro endereço.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RF19</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Consolidar os índices do período, assiná-los e submetê-los ao contrato em uma única transação.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Ponte</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RF20</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Rejeitar publicação duplicada para o mesmo período de referência.</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RF21</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Enfileirar publicações não concluídas em caso de indisponibilidade e retomá-las preservando o período.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Ponte</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RF22</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Registrar, para cada publicação, o identificador da transação, o gas consumido e o instante de confirmação.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Ponte</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4.1.6 Contrato inteligente e liquidação</w:t>
      </w:r>
    </w:p>
    <w:p>
      <w:pPr>
        <w:spacing w:after="40" w:before="120" w:line="240"/>
        <w:jc w:val="center"/>
      </w:pPr>
      <w:r>
        <w:rPr>
          <w:rFonts w:ascii="Times New Roman" w:cs="Times New Roman" w:eastAsia="Times New Roman" w:hAnsi="Times New Roman"/>
          <w:sz w:val="20"/>
          <w:szCs w:val="20"/>
        </w:rPr>
        <w:t xml:space="preserve">Quadro 11 – Requisitos funcionais: contrato e liquidação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6121"/>
        <w:gridCol w:w="1050"/>
        <w:gridCol w:w="1050"/>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61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Prioridade</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Camada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RF23</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Avaliar automaticamente a condição contratada a cada publicação, sem intervenção humana.</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RF24</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Transferir a indenização à carteira do produtor imediatamente após a confirmação do acionamento.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RF25</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Suportar pagamento escalonado, proporcional à faixa do índice, além do pagamento integral.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Importante</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RF26</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Impedir acionamento duplicado e garantir que falha na transferência não deixe estado inconsistente.</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Essencial</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Em cadeia</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4.1.7 Notificação, contestação e gestão</w:t>
      </w:r>
    </w:p>
    <w:p>
      <w:pPr>
        <w:spacing w:after="40" w:before="120" w:line="240"/>
        <w:jc w:val="center"/>
      </w:pPr>
      <w:r>
        <w:rPr>
          <w:rFonts w:ascii="Times New Roman" w:cs="Times New Roman" w:eastAsia="Times New Roman" w:hAnsi="Times New Roman"/>
          <w:sz w:val="20"/>
          <w:szCs w:val="20"/>
        </w:rPr>
        <w:t xml:space="preserve">Quadro 12 – Requisitos funcionais: notificação e gestão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6121"/>
        <w:gridCol w:w="1050"/>
        <w:gridCol w:w="1050"/>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612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Prioridade</w:t>
            </w:r>
          </w:p>
        </w:tc>
        <w:tc>
          <w:tcPr>
            <w:tcW w:type="dxa" w:w="10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Camada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RF27</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Capturar os eventos do contrato e notificar produtor e seguradora sobre acionamento, pagamento e falhas.</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Importante</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Ponte</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RF28</w:t>
            </w:r>
          </w:p>
        </w:tc>
        <w:tc>
          <w:tcPr>
            <w:tcW w:type="dxa" w:w="612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Permitir que o produtor conteste a avaliação automática, registrando o parecer do perito.</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Importante</w:t>
            </w:r>
          </w:p>
        </w:tc>
        <w:tc>
          <w:tcPr>
            <w:tcW w:type="dxa" w:w="10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Ponte</w:t>
            </w:r>
          </w:p>
        </w:tc>
      </w:tr>
    </w:tbl>
    <w:p>
      <w:pPr>
        <w:spacing w:after="220" w:line="240"/>
        <w:jc w:val="center"/>
      </w:pPr>
      <w:r>
        <w:rPr>
          <w:rFonts w:ascii="Times New Roman" w:cs="Times New Roman" w:eastAsia="Times New Roman" w:hAnsi="Times New Roman"/>
          <w:sz w:val="20"/>
          <w:szCs w:val="20"/>
        </w:rPr>
        <w:t xml:space="preserve">Fonte: elaborado pelos autores (2026).</w:t>
      </w:r>
    </w:p>
    <w:p>
      <w:r>
        <w:br w:type="page"/>
      </w:r>
    </w:p>
    <w:p>
      <w:pPr>
        <w:pStyle w:val="Heading2"/>
        <w:spacing w:after="160" w:before="300" w:line="360"/>
      </w:pPr>
      <w:r>
        <w:rPr>
          <w:rFonts w:ascii="Times New Roman" w:cs="Times New Roman" w:eastAsia="Times New Roman" w:hAnsi="Times New Roman"/>
          <w:b/>
          <w:bCs/>
          <w:color w:val="000000"/>
          <w:sz w:val="24"/>
          <w:szCs w:val="24"/>
        </w:rPr>
        <w:t xml:space="preserve">4.2 Requisitos não funcionais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São 28 requisitos não funcionais. Além das categorias da norma ISO/IEC 25010, o projeto acrescenta categorias de execução em rede descentralizada — determinismo, custo de gas, reentrância e custódia de chaves.</w:t>
      </w:r>
    </w:p>
    <w:p>
      <w:pPr>
        <w:pStyle w:val="Heading3"/>
        <w:spacing w:after="140" w:before="240" w:line="360"/>
      </w:pPr>
      <w:r>
        <w:rPr>
          <w:rFonts w:ascii="Times New Roman" w:cs="Times New Roman" w:eastAsia="Times New Roman" w:hAnsi="Times New Roman"/>
          <w:i/>
          <w:iCs/>
          <w:color w:val="000000"/>
          <w:sz w:val="24"/>
          <w:szCs w:val="24"/>
        </w:rPr>
        <w:t xml:space="preserve">4.2.1 Qualidade geral do produto</w:t>
      </w:r>
    </w:p>
    <w:p>
      <w:pPr>
        <w:spacing w:after="40" w:before="120" w:line="240"/>
        <w:jc w:val="center"/>
      </w:pPr>
      <w:r>
        <w:rPr>
          <w:rFonts w:ascii="Times New Roman" w:cs="Times New Roman" w:eastAsia="Times New Roman" w:hAnsi="Times New Roman"/>
          <w:sz w:val="20"/>
          <w:szCs w:val="20"/>
        </w:rPr>
        <w:t xml:space="preserve">Quadro 13 – Requisitos não funcionais: qualidade geral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1750"/>
        <w:gridCol w:w="6471"/>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17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Categoria</w:t>
            </w:r>
          </w:p>
        </w:tc>
        <w:tc>
          <w:tcPr>
            <w:tcW w:type="dxa" w:w="64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RNF01</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Desempenho</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Responder a 95% das consultas de apólice em até 2 segundos sob carga normal.</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RNF02</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Desempenho</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Concluir a inferência sobre um lote de até 50 imagens em no máximo 10 minutos.</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RNF03</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Confiabilidade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Disponibilidade de 99,5% ao mês, excetuadas janelas de manutenção comunicadas.</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RNF04</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Escalabilidade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Suportar ao menos 10 mil talhões monitorados sem degradação perceptível.</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RNF05</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Manutenibilidade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Seguir o guia de estilo do projeto e manter cobertura mínima de 80% em testes.</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RNF06</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Usabilidade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Apresentar a condição contratada em linguagem não técnica antes do aceite, com exemplos numéricos.</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RNF07</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Portabilidade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Funcionar em Chrome, Firefox e Edge nas duas últimas versões, com carteira compatível.</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4.2.2 Contrato inteligente e execução em cadeia</w:t>
      </w:r>
    </w:p>
    <w:p>
      <w:pPr>
        <w:spacing w:after="40" w:before="120" w:line="240"/>
        <w:jc w:val="center"/>
      </w:pPr>
      <w:r>
        <w:rPr>
          <w:rFonts w:ascii="Times New Roman" w:cs="Times New Roman" w:eastAsia="Times New Roman" w:hAnsi="Times New Roman"/>
          <w:sz w:val="20"/>
          <w:szCs w:val="20"/>
        </w:rPr>
        <w:t xml:space="preserve">Quadro 14 – Requisitos não funcionais: execução em cadeia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1750"/>
        <w:gridCol w:w="6471"/>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17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Categoria</w:t>
            </w:r>
          </w:p>
        </w:tc>
        <w:tc>
          <w:tcPr>
            <w:tcW w:type="dxa" w:w="64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RNF08</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Determinismo</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 lógica não pode depender de aleatoriedade, de marca de tempo do bloco como entropia ou de contratos não auditados.</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RNF09</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Custo</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Medir e documentar o gas de cada função pública; nenhuma pode exceder o limite por bloco.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RNF10</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Custo</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Manter o custo médio por apólice abaixo de 1% do prêmio, admitindo agregação de publicações.</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RNF11</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Segurança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Ser imune a reentrância: verificar, atualizar estado e só então interagir, com guarda nas funções que transferem valor.</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RNF12</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Segurança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Implementar controle de acesso por função, distinguindo seguradora, oráculo e produtor titular.</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RNF13</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Segurança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Submeter os contratos a análise estática antes de implantar; nenhum achado de severidade alta sem tratamento.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RNF14</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Testabilidade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Cobrir 100% dos caminhos condicionais, incluindo as rejeições por endereço não autorizado e período duplicado.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RNF15</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Integridade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Nenhuma falha pode resultar em pagamento parcial ou estado inconsistente; toda operação é atômica.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RNF16</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Custódia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Manter as chaves da seguradora fora do código-fonte e do repositório.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RNF17</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Custódia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Nunca armazenar a chave privada da carteira do produtor.</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4.2.3 Oráculo, dados e tolerância a falhas</w:t>
      </w:r>
    </w:p>
    <w:p>
      <w:pPr>
        <w:spacing w:after="40" w:before="120" w:line="240"/>
        <w:jc w:val="center"/>
      </w:pPr>
      <w:r>
        <w:rPr>
          <w:rFonts w:ascii="Times New Roman" w:cs="Times New Roman" w:eastAsia="Times New Roman" w:hAnsi="Times New Roman"/>
          <w:sz w:val="20"/>
          <w:szCs w:val="20"/>
        </w:rPr>
        <w:t xml:space="preserve">Quadro 15 – Requisitos não funcionais: oráculo e 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1750"/>
        <w:gridCol w:w="6471"/>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17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Categoria</w:t>
            </w:r>
          </w:p>
        </w:tc>
        <w:tc>
          <w:tcPr>
            <w:tcW w:type="dxa" w:w="64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RNF18</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Confiabilidade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Cada talhão deve ter ao menos duas fontes independentes, ou uma fonte com evidência por imagem obrigatória.</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RNF19</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Integridade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Toda leitura deve ser autenticada na origem e transmitida por canal cifrado.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RNF20</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Rastreabilidade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Toda decisão de pagamento deve ser reconstituível: índices, resumos das evidências, versão do modelo e transações.</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RNF21</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Reprodutibilidade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Preservar a versão do modelo usada em cada inferência durante todo o prazo de contestação.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RNF22</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Tolerância a falhas</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Indisponibilidade do oráculo ou da rede não pode causar perda de dados.</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RNF23</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Latência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Entre a confirmação do acionamento e a indenização na carteira, não exceder 72 horas.</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pStyle w:val="Heading3"/>
        <w:spacing w:after="140" w:before="240" w:line="360"/>
      </w:pPr>
      <w:r>
        <w:rPr>
          <w:rFonts w:ascii="Times New Roman" w:cs="Times New Roman" w:eastAsia="Times New Roman" w:hAnsi="Times New Roman"/>
          <w:i/>
          <w:iCs/>
          <w:color w:val="000000"/>
          <w:sz w:val="24"/>
          <w:szCs w:val="24"/>
        </w:rPr>
        <w:t xml:space="preserve">4.2.4 Segurança da aplicação e conformidade</w:t>
      </w:r>
    </w:p>
    <w:p>
      <w:pPr>
        <w:spacing w:after="40" w:before="120" w:line="240"/>
        <w:jc w:val="center"/>
      </w:pPr>
      <w:r>
        <w:rPr>
          <w:rFonts w:ascii="Times New Roman" w:cs="Times New Roman" w:eastAsia="Times New Roman" w:hAnsi="Times New Roman"/>
          <w:sz w:val="20"/>
          <w:szCs w:val="20"/>
        </w:rPr>
        <w:t xml:space="preserve">Quadro 16 – Requisitos não funcionais: segurança e conformidade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1750"/>
        <w:gridCol w:w="6471"/>
      </w:tblGrid>
      <w:tr>
        <w:trPr>
          <w:tblHeader/>
        </w:trPr>
        <w:tc>
          <w:tcPr>
            <w:tcW w:type="dxa" w:w="8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ID</w:t>
            </w:r>
          </w:p>
        </w:tc>
        <w:tc>
          <w:tcPr>
            <w:tcW w:type="dxa" w:w="175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Categoria</w:t>
            </w:r>
          </w:p>
        </w:tc>
        <w:tc>
          <w:tcPr>
            <w:tcW w:type="dxa" w:w="64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RNF24</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Segurança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Armazenar senhas com hash e salt, usando bcrypt ou Argon2.</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RNF25</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Segurança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Manter log de auditoria correlacionado aos identificadores de transação.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RNF26</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Segurança</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Limitar a taxa de requisições por origem nas rotas de envio de imagens e de publicação.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RNF27</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Conformidade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Observar a Lei nº 13.709/2018; dados na cadeia são imutáveis e não podem conter dado pessoal em texto claro.</w:t>
            </w:r>
          </w:p>
        </w:tc>
      </w:tr>
      <w:tr>
        <w:trPr>
          <w:tblHeader w:val="false"/>
        </w:trPr>
        <w:tc>
          <w:tcPr>
            <w:tcW w:type="dxa" w:w="8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RNF28</w:t>
            </w:r>
          </w:p>
        </w:tc>
        <w:tc>
          <w:tcPr>
            <w:tcW w:type="dxa" w:w="17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Conformidade</w:t>
            </w:r>
          </w:p>
        </w:tc>
        <w:tc>
          <w:tcPr>
            <w:tcW w:type="dxa" w:w="6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Observar a regulação de seguros aplicável, mantendo rastreabilidade para fiscalização.</w:t>
            </w:r>
          </w:p>
        </w:tc>
      </w:tr>
    </w:tbl>
    <w:p>
      <w:pPr>
        <w:spacing w:after="220" w:line="240"/>
        <w:jc w:val="center"/>
      </w:pPr>
      <w:r>
        <w:rPr>
          <w:rFonts w:ascii="Times New Roman" w:cs="Times New Roman" w:eastAsia="Times New Roman" w:hAnsi="Times New Roman"/>
          <w:sz w:val="20"/>
          <w:szCs w:val="20"/>
        </w:rPr>
        <w:t xml:space="preserve">Fonte: elaborado pelos autores (2026).</w:t>
      </w:r>
    </w:p>
    <w:p>
      <w:r>
        <w:br w:type="page"/>
      </w:r>
    </w:p>
    <w:p>
      <w:pPr>
        <w:pStyle w:val="Heading1"/>
        <w:spacing w:after="240" w:before="360" w:line="360"/>
      </w:pPr>
      <w:r>
        <w:rPr>
          <w:rFonts w:ascii="Times New Roman" w:cs="Times New Roman" w:eastAsia="Times New Roman" w:hAnsi="Times New Roman"/>
          <w:b/>
          <w:bCs/>
          <w:color w:val="000000"/>
          <w:sz w:val="24"/>
          <w:szCs w:val="24"/>
        </w:rPr>
        <w:t xml:space="preserve">5 MODELAGEM</w:t>
      </w:r>
    </w:p>
    <w:p>
      <w:pPr>
        <w:pStyle w:val="Heading2"/>
        <w:spacing w:after="160" w:before="300" w:line="360"/>
      </w:pPr>
      <w:r>
        <w:rPr>
          <w:rFonts w:ascii="Times New Roman" w:cs="Times New Roman" w:eastAsia="Times New Roman" w:hAnsi="Times New Roman"/>
          <w:b/>
          <w:bCs/>
          <w:color w:val="000000"/>
          <w:sz w:val="24"/>
          <w:szCs w:val="24"/>
        </w:rPr>
        <w:t xml:space="preserve">5.1 Diagrama de classes</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 Figura 7 apresenta as classes de domínio. A leitura acompanha o caminho do dado: o produtor tem propriedades, que têm talhões; cada talhão recebe apólices, leituras de sensores e lotes de imagens; a análise das imagens e as leituras alimentam o índice consolidado, que é publicado na cadeia e pode gerar um acionamento.</w:t>
      </w:r>
    </w:p>
    <w:p>
      <w:pPr>
        <w:spacing w:after="0" w:before="160"/>
        <w:jc w:val="center"/>
      </w:pPr>
      <w:r>
        <w:drawing>
          <wp:inline distT="0" distB="0" distL="0" distR="0">
            <wp:extent cx="49530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257800"/>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7 – Diagrama de classes de domínio</w:t>
      </w:r>
    </w:p>
    <w:p>
      <w:pPr>
        <w:spacing w:after="220" w:line="240"/>
        <w:jc w:val="center"/>
      </w:pPr>
      <w:r>
        <w:rPr>
          <w:rFonts w:ascii="Times New Roman" w:cs="Times New Roman" w:eastAsia="Times New Roman" w:hAnsi="Times New Roman"/>
          <w:sz w:val="20"/>
          <w:szCs w:val="20"/>
        </w:rPr>
        <w:t xml:space="preserve">Fonte: elaborado pelos autores (2026).</w:t>
      </w:r>
    </w:p>
    <w:p>
      <w:r>
        <w:br w:type="page"/>
      </w:r>
    </w:p>
    <w:p>
      <w:pPr>
        <w:pStyle w:val="Heading2"/>
        <w:spacing w:after="160" w:before="300" w:line="360"/>
      </w:pPr>
      <w:r>
        <w:rPr>
          <w:rFonts w:ascii="Times New Roman" w:cs="Times New Roman" w:eastAsia="Times New Roman" w:hAnsi="Times New Roman"/>
          <w:b/>
          <w:bCs/>
          <w:color w:val="000000"/>
          <w:sz w:val="24"/>
          <w:szCs w:val="24"/>
        </w:rPr>
        <w:t xml:space="preserve">5.2 Diagrama de sequência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 Figura 8 modela o fluxo que vai da leitura do sensor até o pagamento, correspondente aos casos de uso UC07 a UC13.</w:t>
      </w:r>
    </w:p>
    <w:p>
      <w:pPr>
        <w:spacing w:after="0" w:before="160"/>
        <w:jc w:val="center"/>
      </w:pPr>
      <w:r>
        <w:drawing>
          <wp:inline distT="0" distB="0" distL="0" distR="0">
            <wp:extent cx="542925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4276725"/>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8 – Diagrama de sequência do fluxo de apuração e liquidação</w:t>
      </w:r>
    </w:p>
    <w:p>
      <w:pPr>
        <w:spacing w:after="220" w:line="240"/>
        <w:jc w:val="center"/>
      </w:pPr>
      <w:r>
        <w:rPr>
          <w:rFonts w:ascii="Times New Roman" w:cs="Times New Roman" w:eastAsia="Times New Roman" w:hAnsi="Times New Roman"/>
          <w:sz w:val="20"/>
          <w:szCs w:val="20"/>
        </w:rPr>
        <w:t xml:space="preserve">Fonte: elaborado pelos autores (2026).</w:t>
      </w:r>
    </w:p>
    <w:p>
      <w:pPr>
        <w:spacing w:after="40" w:before="120" w:line="240"/>
        <w:jc w:val="center"/>
      </w:pPr>
      <w:r>
        <w:rPr>
          <w:rFonts w:ascii="Times New Roman" w:cs="Times New Roman" w:eastAsia="Times New Roman" w:hAnsi="Times New Roman"/>
          <w:sz w:val="20"/>
          <w:szCs w:val="20"/>
        </w:rPr>
        <w:t xml:space="preserve">Quadro 17 – Fases do fluxo de apuração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71"/>
      </w:tblGrid>
      <w:tr>
        <w:trPr>
          <w:tblHeader/>
        </w:trPr>
        <w:tc>
          <w:tcPr>
            <w:tcW w:type="dxa" w:w="16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Fase</w:t>
            </w:r>
          </w:p>
        </w:tc>
        <w:tc>
          <w:tcPr>
            <w:tcW w:type="dxa" w:w="12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Mensagens</w:t>
            </w:r>
          </w:p>
        </w:tc>
        <w:tc>
          <w:tcPr>
            <w:tcW w:type="dxa" w:w="62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O que acontece</w:t>
            </w:r>
          </w:p>
        </w:tc>
      </w:tr>
      <w:tr>
        <w:trPr>
          <w:tblHeader w:val="false"/>
        </w:trPr>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Coleta</w:t>
            </w:r>
          </w:p>
        </w:tc>
        <w:tc>
          <w:tcPr>
            <w:tcW w:type="dxa" w:w="1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 a 2</w:t>
            </w:r>
          </w:p>
        </w:tc>
        <w:tc>
          <w:tcPr>
            <w:tcW w:type="dxa" w:w="62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Os sensores transmitem as leituras; a ingestão valida a consistência e consolida o índice climático.</w:t>
            </w:r>
          </w:p>
        </w:tc>
      </w:tr>
      <w:tr>
        <w:trPr>
          <w:tblHeader w:val="false"/>
        </w:trPr>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Inferência</w:t>
            </w:r>
          </w:p>
        </w:tc>
        <w:tc>
          <w:tcPr>
            <w:tcW w:type="dxa" w:w="1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 a 6</w:t>
            </w:r>
          </w:p>
        </w:tc>
        <w:tc>
          <w:tcPr>
            <w:tcW w:type="dxa" w:w="62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 módulo de visão estima o índice de dano e devolve o grau de confiança, comparado ao limiar.</w:t>
            </w:r>
          </w:p>
        </w:tc>
      </w:tr>
      <w:tr>
        <w:trPr>
          <w:tblHeader w:val="false"/>
        </w:trPr>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Travessia</w:t>
            </w:r>
          </w:p>
        </w:tc>
        <w:tc>
          <w:tcPr>
            <w:tcW w:type="dxa" w:w="1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7 a 9</w:t>
            </w:r>
          </w:p>
        </w:tc>
        <w:tc>
          <w:tcPr>
            <w:tcW w:type="dxa" w:w="62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 oráculo agrega, assina e publica os dois índices no contrato. Aqui o processamento cruza a fronteira.</w:t>
            </w:r>
          </w:p>
        </w:tc>
      </w:tr>
      <w:tr>
        <w:trPr>
          <w:tblHeader w:val="false"/>
        </w:trPr>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Liquidação</w:t>
            </w:r>
          </w:p>
        </w:tc>
        <w:tc>
          <w:tcPr>
            <w:tcW w:type="dxa" w:w="1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10 a 13</w:t>
            </w:r>
          </w:p>
        </w:tc>
        <w:tc>
          <w:tcPr>
            <w:tcW w:type="dxa" w:w="62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 contrato valida a origem, avalia a condição e, se atendida, transfere a indenização e emite o evento.</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Dois pontos importam para a defesa. A mensagem 9 transporta apenas números e resumos criptográficos, nunca as imagens ou o modelo. E a mensagem 11, única que movimenta valor, não passa por aprovação humana — é o principal benefício do sistema e também o seu principal risco, o que justifica o rigor dos requisitos RNF08 a RNF17.</w:t>
      </w:r>
    </w:p>
    <w:p>
      <w:r>
        <w:br w:type="page"/>
      </w:r>
    </w:p>
    <w:p>
      <w:pPr>
        <w:pStyle w:val="Heading1"/>
        <w:spacing w:after="240" w:before="360" w:line="360"/>
      </w:pPr>
      <w:r>
        <w:rPr>
          <w:rFonts w:ascii="Times New Roman" w:cs="Times New Roman" w:eastAsia="Times New Roman" w:hAnsi="Times New Roman"/>
          <w:b/>
          <w:bCs/>
          <w:color w:val="000000"/>
          <w:sz w:val="24"/>
          <w:szCs w:val="24"/>
        </w:rPr>
        <w:t xml:space="preserve">6 PLANEJAMENTO DO DESENVOLVIMENTO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desenvolvimento segue Scrum, com equipe de cinco integrantes e prazo até 26 de outubro de 2026. São três sprints: duas de duas semanas e uma final de uma semana.</w:t>
      </w:r>
    </w:p>
    <w:p>
      <w:pPr>
        <w:pStyle w:val="Heading2"/>
        <w:spacing w:after="160" w:before="300" w:line="360"/>
      </w:pPr>
      <w:r>
        <w:rPr>
          <w:rFonts w:ascii="Times New Roman" w:cs="Times New Roman" w:eastAsia="Times New Roman" w:hAnsi="Times New Roman"/>
          <w:b/>
          <w:bCs/>
          <w:color w:val="000000"/>
          <w:sz w:val="24"/>
          <w:szCs w:val="24"/>
        </w:rPr>
        <w:t xml:space="preserve">6.1 Backlog e histórias de usuário</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 ordenação não segue a numeração dos requisitos. As histórias que sustentam a travessia entre as camadas foram antecipadas, porque concentram o risco técnico: se a ponte não funcionar, nada mais importa. Cada história abaixo traz seus requisitos, estimativa, sprint e critérios de aceite.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HU01 — Contrato da apólice em rede local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desenvolvedor, quero implantar o contrato da apólice com os termos registrados e a condição parametrizada, para validar isoladamente a lógica de acionamento.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RF07, RF08</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13 pontos · Sprint 1</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O construtor recebe condição de gatilho, endereço da carteira e endereço do oráculo autorizado.</w:t>
            </w:r>
          </w:p>
          <w:p>
            <w:pPr>
              <w:spacing w:after="40" w:line="240"/>
              <w:jc w:val="left"/>
            </w:pPr>
            <w:r>
              <w:rPr>
                <w:rFonts w:ascii="Times New Roman" w:cs="Times New Roman" w:eastAsia="Times New Roman" w:hAnsi="Times New Roman"/>
                <w:b w:val="false"/>
                <w:bCs w:val="false"/>
                <w:sz w:val="20"/>
                <w:szCs w:val="20"/>
              </w:rPr>
              <w:t xml:space="preserve">2. O resumo criptográfico dos termos fica gravado e legível por consulta pública.</w:t>
            </w:r>
          </w:p>
          <w:p>
            <w:pPr>
              <w:spacing w:after="40" w:line="240"/>
              <w:jc w:val="left"/>
            </w:pPr>
            <w:r>
              <w:rPr>
                <w:rFonts w:ascii="Times New Roman" w:cs="Times New Roman" w:eastAsia="Times New Roman" w:hAnsi="Times New Roman"/>
                <w:b w:val="false"/>
                <w:bCs w:val="false"/>
                <w:sz w:val="20"/>
                <w:szCs w:val="20"/>
              </w:rPr>
              <w:t xml:space="preserve">3. Os testes cobrem implantação bem-sucedida e implantação com parâmetro inválido.</w:t>
            </w:r>
          </w:p>
          <w:p>
            <w:pPr>
              <w:spacing w:after="0" w:line="240"/>
              <w:jc w:val="left"/>
            </w:pPr>
            <w:r>
              <w:rPr>
                <w:rFonts w:ascii="Times New Roman" w:cs="Times New Roman" w:eastAsia="Times New Roman" w:hAnsi="Times New Roman"/>
                <w:b w:val="false"/>
                <w:bCs w:val="false"/>
                <w:sz w:val="20"/>
                <w:szCs w:val="20"/>
              </w:rPr>
              <w:t xml:space="preserve">4. O relatório de gas registra o custo da implantação.</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HU02 — Controle de endereços autorizados</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desenvolvedor, quero que o contrato aceite publicações apenas de endereços autorizados e rejeite períodos duplicados, para impedir a injeção de dados por terceiros.</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RF18, RF20</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8 pontos · Sprint 1</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Publicação de endereço não autorizado é revertida com motivo identificável.</w:t>
            </w:r>
          </w:p>
          <w:p>
            <w:pPr>
              <w:spacing w:after="40" w:line="240"/>
              <w:jc w:val="left"/>
            </w:pPr>
            <w:r>
              <w:rPr>
                <w:rFonts w:ascii="Times New Roman" w:cs="Times New Roman" w:eastAsia="Times New Roman" w:hAnsi="Times New Roman"/>
                <w:b w:val="false"/>
                <w:bCs w:val="false"/>
                <w:sz w:val="20"/>
                <w:szCs w:val="20"/>
              </w:rPr>
              <w:t xml:space="preserve">2. Publicação para período já registrado é revertida, preservando o valor original.</w:t>
            </w:r>
          </w:p>
          <w:p>
            <w:pPr>
              <w:spacing w:after="40" w:line="240"/>
              <w:jc w:val="left"/>
            </w:pPr>
            <w:r>
              <w:rPr>
                <w:rFonts w:ascii="Times New Roman" w:cs="Times New Roman" w:eastAsia="Times New Roman" w:hAnsi="Times New Roman"/>
                <w:b w:val="false"/>
                <w:bCs w:val="false"/>
                <w:sz w:val="20"/>
                <w:szCs w:val="20"/>
              </w:rPr>
              <w:t xml:space="preserve">3. Incluir e remover endereços autorizados é restrito ao papel de seguradora.</w:t>
            </w:r>
          </w:p>
          <w:p>
            <w:pPr>
              <w:spacing w:after="40" w:line="240"/>
              <w:jc w:val="left"/>
            </w:pPr>
            <w:r>
              <w:rPr>
                <w:rFonts w:ascii="Times New Roman" w:cs="Times New Roman" w:eastAsia="Times New Roman" w:hAnsi="Times New Roman"/>
                <w:b w:val="false"/>
                <w:bCs w:val="false"/>
                <w:sz w:val="20"/>
                <w:szCs w:val="20"/>
              </w:rPr>
              <w:t xml:space="preserve">4. Toda publicação válida emite evento com apólice, período e índices.</w:t>
            </w:r>
          </w:p>
          <w:p>
            <w:pPr>
              <w:spacing w:after="0" w:line="240"/>
              <w:jc w:val="left"/>
            </w:pPr>
            <w:r>
              <w:rPr>
                <w:rFonts w:ascii="Times New Roman" w:cs="Times New Roman" w:eastAsia="Times New Roman" w:hAnsi="Times New Roman"/>
                <w:b w:val="false"/>
                <w:bCs w:val="false"/>
                <w:sz w:val="20"/>
                <w:szCs w:val="20"/>
              </w:rPr>
              <w:t xml:space="preserve">5. Os testes cobrem os três caminhos: válida, não autorizada e duplicada.</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HU04 — Simulador de sensores climáticos</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sistema, quero receber leituras do simulador em periodicidade configurável, para dispor das séries sobre as quais a condição será avaliada.</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RF11</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8 pontos · Sprint 1</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O simulador publica leituras por MQTT em intervalo configurável.</w:t>
            </w:r>
          </w:p>
          <w:p>
            <w:pPr>
              <w:spacing w:after="40" w:line="240"/>
              <w:jc w:val="left"/>
            </w:pPr>
            <w:r>
              <w:rPr>
                <w:rFonts w:ascii="Times New Roman" w:cs="Times New Roman" w:eastAsia="Times New Roman" w:hAnsi="Times New Roman"/>
                <w:b w:val="false"/>
                <w:bCs w:val="false"/>
                <w:sz w:val="20"/>
                <w:szCs w:val="20"/>
              </w:rPr>
              <w:t xml:space="preserve">2. As séries podem ser carregadas de arquivo histórico do INMET.</w:t>
            </w:r>
          </w:p>
          <w:p>
            <w:pPr>
              <w:spacing w:after="40" w:line="240"/>
              <w:jc w:val="left"/>
            </w:pPr>
            <w:r>
              <w:rPr>
                <w:rFonts w:ascii="Times New Roman" w:cs="Times New Roman" w:eastAsia="Times New Roman" w:hAnsi="Times New Roman"/>
                <w:b w:val="false"/>
                <w:bCs w:val="false"/>
                <w:sz w:val="20"/>
                <w:szCs w:val="20"/>
              </w:rPr>
              <w:t xml:space="preserve">3. Há três cenários pré-configurados: estiagem severa, estiagem moderada e safra normal.</w:t>
            </w:r>
          </w:p>
          <w:p>
            <w:pPr>
              <w:spacing w:after="0" w:line="240"/>
              <w:jc w:val="left"/>
            </w:pPr>
            <w:r>
              <w:rPr>
                <w:rFonts w:ascii="Times New Roman" w:cs="Times New Roman" w:eastAsia="Times New Roman" w:hAnsi="Times New Roman"/>
                <w:b w:val="false"/>
                <w:bCs w:val="false"/>
                <w:sz w:val="20"/>
                <w:szCs w:val="20"/>
              </w:rPr>
              <w:t xml:space="preserve">4. Cada leitura carrega data, hora, identificador da fonte e coordenada.</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HU13 — Autenticação e perfis de acesso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usuário, quero autenticar-me com credenciais e perfil de acesso, para utilizar apenas as funcionalidades do meu papel.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RF01, RF04</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 pontos · Sprint 1</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Senhas são armazenadas com hash e salt.</w:t>
            </w:r>
          </w:p>
          <w:p>
            <w:pPr>
              <w:spacing w:after="40" w:line="240"/>
              <w:jc w:val="left"/>
            </w:pPr>
            <w:r>
              <w:rPr>
                <w:rFonts w:ascii="Times New Roman" w:cs="Times New Roman" w:eastAsia="Times New Roman" w:hAnsi="Times New Roman"/>
                <w:b w:val="false"/>
                <w:bCs w:val="false"/>
                <w:sz w:val="20"/>
                <w:szCs w:val="20"/>
              </w:rPr>
              <w:t xml:space="preserve">2. Os perfis produtor, seguradora e perito veem menus distintos.</w:t>
            </w:r>
          </w:p>
          <w:p>
            <w:pPr>
              <w:spacing w:after="40" w:line="240"/>
              <w:jc w:val="left"/>
            </w:pPr>
            <w:r>
              <w:rPr>
                <w:rFonts w:ascii="Times New Roman" w:cs="Times New Roman" w:eastAsia="Times New Roman" w:hAnsi="Times New Roman"/>
                <w:b w:val="false"/>
                <w:bCs w:val="false"/>
                <w:sz w:val="20"/>
                <w:szCs w:val="20"/>
              </w:rPr>
              <w:t xml:space="preserve">3. Sessão expirada redireciona para a tela de login.</w:t>
            </w:r>
          </w:p>
          <w:p>
            <w:pPr>
              <w:spacing w:after="0" w:line="240"/>
              <w:jc w:val="left"/>
            </w:pPr>
            <w:r>
              <w:rPr>
                <w:rFonts w:ascii="Times New Roman" w:cs="Times New Roman" w:eastAsia="Times New Roman" w:hAnsi="Times New Roman"/>
                <w:b w:val="false"/>
                <w:bCs w:val="false"/>
                <w:sz w:val="20"/>
                <w:szCs w:val="20"/>
              </w:rPr>
              <w:t xml:space="preserve">4. Tentativa de acesso a rota de outro perfil retorna erro de autorização.</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HU03 — Liquidação atômica e protegida</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desenvolvedor, quero que o contrato avalie a condição e transfira a indenização de forma atômica e protegida contra reentrância, para evitar estado inconsistente ou pagamento indevido.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RF23, RF24, RF26</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13 pontos · Sprint 2</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A função segue a ordem verificar, atualizar estado e só então transferir.</w:t>
            </w:r>
          </w:p>
          <w:p>
            <w:pPr>
              <w:spacing w:after="40" w:line="240"/>
              <w:jc w:val="left"/>
            </w:pPr>
            <w:r>
              <w:rPr>
                <w:rFonts w:ascii="Times New Roman" w:cs="Times New Roman" w:eastAsia="Times New Roman" w:hAnsi="Times New Roman"/>
                <w:b w:val="false"/>
                <w:bCs w:val="false"/>
                <w:sz w:val="20"/>
                <w:szCs w:val="20"/>
              </w:rPr>
              <w:t xml:space="preserve">2. Há guarda de reentrância na função que transfere valor.</w:t>
            </w:r>
          </w:p>
          <w:p>
            <w:pPr>
              <w:spacing w:after="40" w:line="240"/>
              <w:jc w:val="left"/>
            </w:pPr>
            <w:r>
              <w:rPr>
                <w:rFonts w:ascii="Times New Roman" w:cs="Times New Roman" w:eastAsia="Times New Roman" w:hAnsi="Times New Roman"/>
                <w:b w:val="false"/>
                <w:bCs w:val="false"/>
                <w:sz w:val="20"/>
                <w:szCs w:val="20"/>
              </w:rPr>
              <w:t xml:space="preserve">3. Acionamento duplicado para o mesmo período é rejeitado.</w:t>
            </w:r>
          </w:p>
          <w:p>
            <w:pPr>
              <w:spacing w:after="40" w:line="240"/>
              <w:jc w:val="left"/>
            </w:pPr>
            <w:r>
              <w:rPr>
                <w:rFonts w:ascii="Times New Roman" w:cs="Times New Roman" w:eastAsia="Times New Roman" w:hAnsi="Times New Roman"/>
                <w:b w:val="false"/>
                <w:bCs w:val="false"/>
                <w:sz w:val="20"/>
                <w:szCs w:val="20"/>
              </w:rPr>
              <w:t xml:space="preserve">4. Falha na transferência não altera a situação da apólice.</w:t>
            </w:r>
          </w:p>
          <w:p>
            <w:pPr>
              <w:spacing w:after="0" w:line="240"/>
              <w:jc w:val="left"/>
            </w:pPr>
            <w:r>
              <w:rPr>
                <w:rFonts w:ascii="Times New Roman" w:cs="Times New Roman" w:eastAsia="Times New Roman" w:hAnsi="Times New Roman"/>
                <w:b w:val="false"/>
                <w:bCs w:val="false"/>
                <w:sz w:val="20"/>
                <w:szCs w:val="20"/>
              </w:rPr>
              <w:t xml:space="preserve">5. Teste com contrato malicioso de reentrância falha ao tentar o ataque.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HU05 — Consolidação do índice climático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sistema, quero validar a plausibilidade das leituras e consolidar o índice do período, para publicar apenas dados íntegros.</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RF12, RF13</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8 pontos · Sprint 2</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Leitura fora da faixa física admissível é descartada e registrada em log.</w:t>
            </w:r>
          </w:p>
          <w:p>
            <w:pPr>
              <w:spacing w:after="40" w:line="240"/>
              <w:jc w:val="left"/>
            </w:pPr>
            <w:r>
              <w:rPr>
                <w:rFonts w:ascii="Times New Roman" w:cs="Times New Roman" w:eastAsia="Times New Roman" w:hAnsi="Times New Roman"/>
                <w:b w:val="false"/>
                <w:bCs w:val="false"/>
                <w:sz w:val="20"/>
                <w:szCs w:val="20"/>
              </w:rPr>
              <w:t xml:space="preserve">2. Fonte sem transmitir no período esperado é marcada como inoperante.</w:t>
            </w:r>
          </w:p>
          <w:p>
            <w:pPr>
              <w:spacing w:after="40" w:line="240"/>
              <w:jc w:val="left"/>
            </w:pPr>
            <w:r>
              <w:rPr>
                <w:rFonts w:ascii="Times New Roman" w:cs="Times New Roman" w:eastAsia="Times New Roman" w:hAnsi="Times New Roman"/>
                <w:b w:val="false"/>
                <w:bCs w:val="false"/>
                <w:sz w:val="20"/>
                <w:szCs w:val="20"/>
              </w:rPr>
              <w:t xml:space="preserve">3. Cada fonte tem escore de reputação atualizado a cada ciclo.</w:t>
            </w:r>
          </w:p>
          <w:p>
            <w:pPr>
              <w:spacing w:after="0" w:line="240"/>
              <w:jc w:val="left"/>
            </w:pPr>
            <w:r>
              <w:rPr>
                <w:rFonts w:ascii="Times New Roman" w:cs="Times New Roman" w:eastAsia="Times New Roman" w:hAnsi="Times New Roman"/>
                <w:b w:val="false"/>
                <w:bCs w:val="false"/>
                <w:sz w:val="20"/>
                <w:szCs w:val="20"/>
              </w:rPr>
              <w:t xml:space="preserve">4. O índice consolidado registra quais fontes foram usadas.</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HU06 — Publicação assinada pelo oráculo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serviço de oráculo, quero assinar e publicar os índices consolidados registrando identificador e custo da transação, para tornar a travessia auditável.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RF19, RF22</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13 pontos · Sprint 2</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Os dois índices são publicados em uma única transação.</w:t>
            </w:r>
          </w:p>
          <w:p>
            <w:pPr>
              <w:spacing w:after="40" w:line="240"/>
              <w:jc w:val="left"/>
            </w:pPr>
            <w:r>
              <w:rPr>
                <w:rFonts w:ascii="Times New Roman" w:cs="Times New Roman" w:eastAsia="Times New Roman" w:hAnsi="Times New Roman"/>
                <w:b w:val="false"/>
                <w:bCs w:val="false"/>
                <w:sz w:val="20"/>
                <w:szCs w:val="20"/>
              </w:rPr>
              <w:t xml:space="preserve">2. A transação é assinada com a chave carregada por variável de ambiente.</w:t>
            </w:r>
          </w:p>
          <w:p>
            <w:pPr>
              <w:spacing w:after="40" w:line="240"/>
              <w:jc w:val="left"/>
            </w:pPr>
            <w:r>
              <w:rPr>
                <w:rFonts w:ascii="Times New Roman" w:cs="Times New Roman" w:eastAsia="Times New Roman" w:hAnsi="Times New Roman"/>
                <w:b w:val="false"/>
                <w:bCs w:val="false"/>
                <w:sz w:val="20"/>
                <w:szCs w:val="20"/>
              </w:rPr>
              <w:t xml:space="preserve">3. O identificador da transação, o gas consumido e o instante de confirmação são gravados.</w:t>
            </w:r>
          </w:p>
          <w:p>
            <w:pPr>
              <w:spacing w:after="0" w:line="240"/>
              <w:jc w:val="left"/>
            </w:pPr>
            <w:r>
              <w:rPr>
                <w:rFonts w:ascii="Times New Roman" w:cs="Times New Roman" w:eastAsia="Times New Roman" w:hAnsi="Times New Roman"/>
                <w:b w:val="false"/>
                <w:bCs w:val="false"/>
                <w:sz w:val="20"/>
                <w:szCs w:val="20"/>
              </w:rPr>
              <w:t xml:space="preserve">4. O evento emitido pelo contrato é capturado e associado à apólice.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HU07 — Vinculação da carteira do produtor</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produtor, quero vincular minha carteira ao cadastro por assinatura de mensagem, para comprovar a titularidade sem expor a chave privada.</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RF02</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 pontos · Sprint 2</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O sistema gera uma mensagem única para assinatura.</w:t>
            </w:r>
          </w:p>
          <w:p>
            <w:pPr>
              <w:spacing w:after="40" w:line="240"/>
              <w:jc w:val="left"/>
            </w:pPr>
            <w:r>
              <w:rPr>
                <w:rFonts w:ascii="Times New Roman" w:cs="Times New Roman" w:eastAsia="Times New Roman" w:hAnsi="Times New Roman"/>
                <w:b w:val="false"/>
                <w:bCs w:val="false"/>
                <w:sz w:val="20"/>
                <w:szCs w:val="20"/>
              </w:rPr>
              <w:t xml:space="preserve">2. A assinatura é verificada no servidor antes de gravar o endereço.</w:t>
            </w:r>
          </w:p>
          <w:p>
            <w:pPr>
              <w:spacing w:after="40" w:line="240"/>
              <w:jc w:val="left"/>
            </w:pPr>
            <w:r>
              <w:rPr>
                <w:rFonts w:ascii="Times New Roman" w:cs="Times New Roman" w:eastAsia="Times New Roman" w:hAnsi="Times New Roman"/>
                <w:b w:val="false"/>
                <w:bCs w:val="false"/>
                <w:sz w:val="20"/>
                <w:szCs w:val="20"/>
              </w:rPr>
              <w:t xml:space="preserve">3. A chave privada nunca trafega nem é armazenada.</w:t>
            </w:r>
          </w:p>
          <w:p>
            <w:pPr>
              <w:spacing w:after="0" w:line="240"/>
              <w:jc w:val="left"/>
            </w:pPr>
            <w:r>
              <w:rPr>
                <w:rFonts w:ascii="Times New Roman" w:cs="Times New Roman" w:eastAsia="Times New Roman" w:hAnsi="Times New Roman"/>
                <w:b w:val="false"/>
                <w:bCs w:val="false"/>
                <w:sz w:val="20"/>
                <w:szCs w:val="20"/>
              </w:rPr>
              <w:t xml:space="preserve">4. Endereço já vinculado a outro produtor é recusado.</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HU09 — Cadastro de talhões e produtos</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seguradora, quero cadastrar produtores e talhões georreferenciados e configurar produtos indexados, para disponibilizá-los à contratação.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RF03, RF05</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8 pontos · Sprint 3</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O talhão é desenhado no mapa ou importado em GeoJSON.</w:t>
            </w:r>
          </w:p>
          <w:p>
            <w:pPr>
              <w:spacing w:after="40" w:line="240"/>
              <w:jc w:val="left"/>
            </w:pPr>
            <w:r>
              <w:rPr>
                <w:rFonts w:ascii="Times New Roman" w:cs="Times New Roman" w:eastAsia="Times New Roman" w:hAnsi="Times New Roman"/>
                <w:b w:val="false"/>
                <w:bCs w:val="false"/>
                <w:sz w:val="20"/>
                <w:szCs w:val="20"/>
              </w:rPr>
              <w:t xml:space="preserve">2. A área é calculada automaticamente a partir do polígono.</w:t>
            </w:r>
          </w:p>
          <w:p>
            <w:pPr>
              <w:spacing w:after="40" w:line="240"/>
              <w:jc w:val="left"/>
            </w:pPr>
            <w:r>
              <w:rPr>
                <w:rFonts w:ascii="Times New Roman" w:cs="Times New Roman" w:eastAsia="Times New Roman" w:hAnsi="Times New Roman"/>
                <w:b w:val="false"/>
                <w:bCs w:val="false"/>
                <w:sz w:val="20"/>
                <w:szCs w:val="20"/>
              </w:rPr>
              <w:t xml:space="preserve">3. Polígono com autointerseção é recusado.</w:t>
            </w:r>
          </w:p>
          <w:p>
            <w:pPr>
              <w:spacing w:after="0" w:line="240"/>
              <w:jc w:val="left"/>
            </w:pPr>
            <w:r>
              <w:rPr>
                <w:rFonts w:ascii="Times New Roman" w:cs="Times New Roman" w:eastAsia="Times New Roman" w:hAnsi="Times New Roman"/>
                <w:b w:val="false"/>
                <w:bCs w:val="false"/>
                <w:sz w:val="20"/>
                <w:szCs w:val="20"/>
              </w:rPr>
              <w:t xml:space="preserve">4. O produto exige cultura, índice, condição, vigência e limite.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HU10 — Cotação e contratação no aplicativo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produtor, quero simular uma cotação e contratar a apólice pelo aplicativo, para formalizar a cobertura sem deslocamento.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RF06, RF07</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8 pontos · Sprint 3</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A cotação mostra prêmio, limite e condição em linguagem simples.</w:t>
            </w:r>
          </w:p>
          <w:p>
            <w:pPr>
              <w:spacing w:after="40" w:line="240"/>
              <w:jc w:val="left"/>
            </w:pPr>
            <w:r>
              <w:rPr>
                <w:rFonts w:ascii="Times New Roman" w:cs="Times New Roman" w:eastAsia="Times New Roman" w:hAnsi="Times New Roman"/>
                <w:b w:val="false"/>
                <w:bCs w:val="false"/>
                <w:sz w:val="20"/>
                <w:szCs w:val="20"/>
              </w:rPr>
              <w:t xml:space="preserve">2. A tela exibe um exemplo numérico do que aciona e do que não aciona o pagamento.</w:t>
            </w:r>
          </w:p>
          <w:p>
            <w:pPr>
              <w:spacing w:after="40" w:line="240"/>
              <w:jc w:val="left"/>
            </w:pPr>
            <w:r>
              <w:rPr>
                <w:rFonts w:ascii="Times New Roman" w:cs="Times New Roman" w:eastAsia="Times New Roman" w:hAnsi="Times New Roman"/>
                <w:b w:val="false"/>
                <w:bCs w:val="false"/>
                <w:sz w:val="20"/>
                <w:szCs w:val="20"/>
              </w:rPr>
              <w:t xml:space="preserve">3. A contratação dispara a implantação do contrato e exibe o endereço gerado.</w:t>
            </w:r>
          </w:p>
          <w:p>
            <w:pPr>
              <w:spacing w:after="0" w:line="240"/>
              <w:jc w:val="left"/>
            </w:pPr>
            <w:r>
              <w:rPr>
                <w:rFonts w:ascii="Times New Roman" w:cs="Times New Roman" w:eastAsia="Times New Roman" w:hAnsi="Times New Roman"/>
                <w:b w:val="false"/>
                <w:bCs w:val="false"/>
                <w:sz w:val="20"/>
                <w:szCs w:val="20"/>
              </w:rPr>
              <w:t xml:space="preserve">4. Falha na implantação não registra a apólice.</w:t>
            </w:r>
          </w:p>
        </w:tc>
      </w:tr>
    </w:tbl>
    <w:p>
      <w:pPr>
        <w:spacing w:after="1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c>
          <w:tcPr>
            <w:tcW w:type="dxa" w:w="9071"/>
            <w:gridSpan w:val="2"/>
            <w:shd w:fill="E8ECE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HU11 — Visão computacional e índice de dano</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História</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Como produtor, quero enviar imagens georreferenciadas do talhão e obter o índice de dano com registro da versão do modelo, para que a avaliação considere a lavoura de forma reproduzível.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Requisitos</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RF14, RF15, RF16</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Pontos / Sprint</w:t>
            </w:r>
          </w:p>
        </w:tc>
        <w:tc>
          <w:tcPr>
            <w:tcW w:type="dxa" w:w="71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13 pontos · Sprint 3</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Critérios de aceite</w:t>
            </w:r>
          </w:p>
        </w:tc>
        <w:tc>
          <w:tcPr>
            <w:tcW w:type="dxa" w:w="7171"/>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Imagem sem geolocalização ou fora do polígono é rejeitada.</w:t>
            </w:r>
          </w:p>
          <w:p>
            <w:pPr>
              <w:spacing w:after="40" w:line="240"/>
              <w:jc w:val="left"/>
            </w:pPr>
            <w:r>
              <w:rPr>
                <w:rFonts w:ascii="Times New Roman" w:cs="Times New Roman" w:eastAsia="Times New Roman" w:hAnsi="Times New Roman"/>
                <w:b w:val="false"/>
                <w:bCs w:val="false"/>
                <w:sz w:val="20"/>
                <w:szCs w:val="20"/>
              </w:rPr>
              <w:t xml:space="preserve">2. O modelo devolve índice de dano normalizado e grau de confiança.</w:t>
            </w:r>
          </w:p>
          <w:p>
            <w:pPr>
              <w:spacing w:after="40" w:line="240"/>
              <w:jc w:val="left"/>
            </w:pPr>
            <w:r>
              <w:rPr>
                <w:rFonts w:ascii="Times New Roman" w:cs="Times New Roman" w:eastAsia="Times New Roman" w:hAnsi="Times New Roman"/>
                <w:b w:val="false"/>
                <w:bCs w:val="false"/>
                <w:sz w:val="20"/>
                <w:szCs w:val="20"/>
              </w:rPr>
              <w:t xml:space="preserve">3. A versão do modelo e o resumo criptográfico do lote ficam gravados.</w:t>
            </w:r>
          </w:p>
          <w:p>
            <w:pPr>
              <w:spacing w:after="0" w:line="240"/>
              <w:jc w:val="left"/>
            </w:pPr>
            <w:r>
              <w:rPr>
                <w:rFonts w:ascii="Times New Roman" w:cs="Times New Roman" w:eastAsia="Times New Roman" w:hAnsi="Times New Roman"/>
                <w:b w:val="false"/>
                <w:bCs w:val="false"/>
                <w:sz w:val="20"/>
                <w:szCs w:val="20"/>
              </w:rPr>
              <w:t xml:space="preserve">4. O resultado é reproduzível: reexecutar a mesma versão sobre o mesmo lote gera o mesmo índice.</w:t>
            </w:r>
          </w:p>
        </w:tc>
      </w:tr>
    </w:tbl>
    <w:p>
      <w:pPr>
        <w:spacing w:after="160"/>
      </w:pPr>
    </w:p>
    <w:p>
      <w:pPr>
        <w:pStyle w:val="Heading2"/>
        <w:spacing w:after="160" w:before="300" w:line="360"/>
      </w:pPr>
      <w:r>
        <w:rPr>
          <w:rFonts w:ascii="Times New Roman" w:cs="Times New Roman" w:eastAsia="Times New Roman" w:hAnsi="Times New Roman"/>
          <w:b/>
          <w:bCs/>
          <w:color w:val="000000"/>
          <w:sz w:val="24"/>
          <w:szCs w:val="24"/>
        </w:rPr>
        <w:t xml:space="preserve">6.2 Sprints e cronograma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Com prazo até 26 de outubro, o projeto dispõe de cinco semanas. O escopo foi cortado para caber: onze histórias entram, três ficam em reserva.</w:t>
      </w:r>
    </w:p>
    <w:p>
      <w:pPr>
        <w:spacing w:after="40" w:before="120" w:line="240"/>
        <w:jc w:val="center"/>
      </w:pPr>
      <w:r>
        <w:rPr>
          <w:rFonts w:ascii="Times New Roman" w:cs="Times New Roman" w:eastAsia="Times New Roman" w:hAnsi="Times New Roman"/>
          <w:sz w:val="20"/>
          <w:szCs w:val="20"/>
        </w:rPr>
        <w:t xml:space="preserve">Quadro 18 – Objetivos e entregas por sprint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271"/>
        <w:gridCol w:w="1900"/>
        <w:gridCol w:w="1400"/>
      </w:tblGrid>
      <w:tr>
        <w:trPr>
          <w:tblHeader/>
        </w:trPr>
        <w:tc>
          <w:tcPr>
            <w:tcW w:type="dxa" w:w="8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Sprint</w:t>
            </w:r>
          </w:p>
        </w:tc>
        <w:tc>
          <w:tcPr>
            <w:tcW w:type="dxa" w:w="17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Período</w:t>
            </w:r>
          </w:p>
        </w:tc>
        <w:tc>
          <w:tcPr>
            <w:tcW w:type="dxa" w:w="32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Objetivo da sprint</w:t>
            </w:r>
          </w:p>
        </w:tc>
        <w:tc>
          <w:tcPr>
            <w:tcW w:type="dxa" w:w="19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Histórias</w:t>
            </w:r>
          </w:p>
        </w:tc>
        <w:tc>
          <w:tcPr>
            <w:tcW w:type="dxa" w:w="14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Entrega</w:t>
            </w:r>
          </w:p>
        </w:tc>
      </w:tr>
      <w:tr>
        <w:trPr>
          <w:tblHeader w:val="false"/>
        </w:trPr>
        <w:tc>
          <w:tcPr>
            <w:tcW w:type="dxa" w:w="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21/09 a 02/10/2026</w:t>
            </w:r>
          </w:p>
        </w:tc>
        <w:tc>
          <w:tcPr>
            <w:tcW w:type="dxa" w:w="32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Contrato da apólice em rede local, com controle de endereços autorizados e testes; simulador de sensores operando; autenticação pronta.</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HU01, HU02, HU04, HU13</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02/10/2026</w:t>
            </w:r>
          </w:p>
        </w:tc>
      </w:tr>
      <w:tr>
        <w:trPr>
          <w:tblHeader w:val="false"/>
        </w:trPr>
        <w:tc>
          <w:tcPr>
            <w:tcW w:type="dxa" w:w="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05/10 a 16/10/2026</w:t>
            </w:r>
          </w:p>
        </w:tc>
        <w:tc>
          <w:tcPr>
            <w:tcW w:type="dxa" w:w="32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Liquidação protegida contra reentrância, índice climático consolidado e oráculo publicando com assinatura e registro de custo.</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HU03, HU05, HU06, HU07</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16/10/2026</w:t>
            </w:r>
          </w:p>
        </w:tc>
      </w:tr>
      <w:tr>
        <w:trPr>
          <w:tblHeader w:val="false"/>
        </w:trPr>
        <w:tc>
          <w:tcPr>
            <w:tcW w:type="dxa" w:w="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3</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19/10 a 26/10/2026</w:t>
            </w:r>
          </w:p>
        </w:tc>
        <w:tc>
          <w:tcPr>
            <w:tcW w:type="dxa" w:w="32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Cadastro, contratação pelo aplicativo, módulo de visão computacional e execução dos cenários experimentais.</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HU09, HU10, HU11</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26/10/2026</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spacing w:after="0" w:before="160"/>
        <w:jc w:val="center"/>
      </w:pPr>
      <w:r>
        <w:drawing>
          <wp:inline distT="0" distB="0" distL="0" distR="0">
            <wp:extent cx="5619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238500"/>
                    </a:xfrm>
                    <a:prstGeom prst="rect">
                      <a:avLst/>
                    </a:prstGeom>
                  </pic:spPr>
                </pic:pic>
              </a:graphicData>
            </a:graphic>
          </wp:inline>
        </w:drawing>
      </w:r>
    </w:p>
    <w:p>
      <w:pPr>
        <w:spacing w:after="40" w:before="120" w:line="240"/>
        <w:jc w:val="center"/>
      </w:pPr>
      <w:r>
        <w:rPr>
          <w:rFonts w:ascii="Times New Roman" w:cs="Times New Roman" w:eastAsia="Times New Roman" w:hAnsi="Times New Roman"/>
          <w:sz w:val="20"/>
          <w:szCs w:val="20"/>
        </w:rPr>
        <w:t xml:space="preserve">Figura 9 – Cronograma de desenvolvimento</w:t>
      </w:r>
    </w:p>
    <w:p>
      <w:pPr>
        <w:spacing w:after="220" w:line="240"/>
        <w:jc w:val="center"/>
      </w:pPr>
      <w:r>
        <w:rPr>
          <w:rFonts w:ascii="Times New Roman" w:cs="Times New Roman" w:eastAsia="Times New Roman" w:hAnsi="Times New Roman"/>
          <w:sz w:val="20"/>
          <w:szCs w:val="20"/>
        </w:rPr>
        <w:t xml:space="preserve">Fonte: elaborado pelos autores (2026).</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As cores separam as duas trilhas que correm em paralelo: enquanto parte da equipe trabalha nos contratos e no oráculo, a outra avança na ingestão, no modelo e nas interfaces.</w:t>
      </w:r>
    </w:p>
    <w:p>
      <w:pPr>
        <w:pStyle w:val="Heading2"/>
        <w:spacing w:after="160" w:before="300" w:line="360"/>
      </w:pPr>
      <w:r>
        <w:rPr>
          <w:rFonts w:ascii="Times New Roman" w:cs="Times New Roman" w:eastAsia="Times New Roman" w:hAnsi="Times New Roman"/>
          <w:b/>
          <w:bCs/>
          <w:color w:val="000000"/>
          <w:sz w:val="24"/>
          <w:szCs w:val="24"/>
        </w:rPr>
        <w:t xml:space="preserve">6.3 Itens de reserva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prazo de cinco semanas não comporta todo o backlog. A equipe definiu previamente um núcleo inegociável — RF07 e RF18 a RF24, que sustentam a resposta à pergunta de pesquisa — e separou os itens abaixo, que só entram se a velocidade medida ao fim da Sprint 1 indicar folga.</w:t>
      </w:r>
    </w:p>
    <w:p>
      <w:pPr>
        <w:spacing w:after="40" w:before="120" w:line="240"/>
        <w:jc w:val="center"/>
      </w:pPr>
      <w:r>
        <w:rPr>
          <w:rFonts w:ascii="Times New Roman" w:cs="Times New Roman" w:eastAsia="Times New Roman" w:hAnsi="Times New Roman"/>
          <w:sz w:val="20"/>
          <w:szCs w:val="20"/>
        </w:rPr>
        <w:t xml:space="preserve">Quadro 19 – Itens de reserva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471"/>
      </w:tblGrid>
      <w:tr>
        <w:trPr>
          <w:tblHeader/>
        </w:trPr>
        <w:tc>
          <w:tcPr>
            <w:tcW w:type="dxa" w:w="15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Item</w:t>
            </w:r>
          </w:p>
        </w:tc>
        <w:tc>
          <w:tcPr>
            <w:tcW w:type="dxa" w:w="3100"/>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Descrição</w:t>
            </w:r>
          </w:p>
        </w:tc>
        <w:tc>
          <w:tcPr>
            <w:tcW w:type="dxa" w:w="4471"/>
            <w:shd w:fill="E8ECEF"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0"/>
                <w:szCs w:val="20"/>
              </w:rPr>
              <w:t xml:space="preserve">Por que pode esperar</w:t>
            </w:r>
          </w:p>
        </w:tc>
      </w:tr>
      <w:tr>
        <w:trPr>
          <w:tblHeader w:val="false"/>
        </w:trPr>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HU08 (RF21)</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Retomada da publicação após indisponibilidade da rede.</w:t>
            </w:r>
          </w:p>
        </w:tc>
        <w:tc>
          <w:tcPr>
            <w:tcW w:type="dxa" w:w="4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Robustez desejável, mas o fluxo principal funciona sem ela em ambiente controlado.</w:t>
            </w:r>
          </w:p>
        </w:tc>
      </w:tr>
      <w:tr>
        <w:trPr>
          <w:tblHeader w:val="false"/>
        </w:trPr>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HU12 (RF09)</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Consulta à linha do tempo reconstruída dos eventos.</w:t>
            </w:r>
          </w:p>
        </w:tc>
        <w:tc>
          <w:tcPr>
            <w:tcW w:type="dxa" w:w="4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Os mesmos dados podem ser verificados no explorador de blocos durante a demonstração.</w:t>
            </w:r>
          </w:p>
        </w:tc>
      </w:tr>
      <w:tr>
        <w:trPr>
          <w:tblHeader w:val="false"/>
        </w:trPr>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HU14 (RF27)</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Notificação de acionamento e pagamento.</w:t>
            </w:r>
          </w:p>
        </w:tc>
        <w:tc>
          <w:tcPr>
            <w:tcW w:type="dxa" w:w="4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Não afeta a decisão de pagamento, apenas a comunicação.</w:t>
            </w:r>
          </w:p>
        </w:tc>
      </w:tr>
      <w:tr>
        <w:trPr>
          <w:tblHeader w:val="false"/>
        </w:trPr>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RF10</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Cancelamento da apólice antes da vigência.</w:t>
            </w:r>
          </w:p>
        </w:tc>
        <w:tc>
          <w:tcPr>
            <w:tcW w:type="dxa" w:w="4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Não participa do fluxo de apuração e liquidação.</w:t>
            </w:r>
          </w:p>
        </w:tc>
      </w:tr>
      <w:tr>
        <w:trPr>
          <w:tblHeader w:val="false"/>
        </w:trPr>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RF17</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Encaminhamento ao perito por baixa confiança.</w:t>
            </w:r>
          </w:p>
        </w:tc>
        <w:tc>
          <w:tcPr>
            <w:tcW w:type="dxa" w:w="4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Depende do módulo auxiliar; o limiar pode ser registrado sem o fluxo de revisão.</w:t>
            </w:r>
          </w:p>
        </w:tc>
      </w:tr>
      <w:tr>
        <w:trPr>
          <w:tblHeader w:val="false"/>
        </w:trPr>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RF25</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Pagamento escalonado por faixa do índice.</w:t>
            </w:r>
          </w:p>
        </w:tc>
        <w:tc>
          <w:tcPr>
            <w:tcW w:type="dxa" w:w="4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 pagamento integral já demonstra a travessia.</w:t>
            </w:r>
          </w:p>
        </w:tc>
      </w:tr>
      <w:tr>
        <w:trPr>
          <w:tblHeader w:val="false"/>
        </w:trPr>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20"/>
                <w:szCs w:val="20"/>
              </w:rPr>
              <w:t xml:space="preserve">RF28</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Contestação da avaliação automática.</w:t>
            </w:r>
          </w:p>
        </w:tc>
        <w:tc>
          <w:tcPr>
            <w:tcW w:type="dxa" w:w="447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Exige retificação do índice em cadeia, de complexidade incompatível com o prazo.</w:t>
            </w:r>
          </w:p>
        </w:tc>
      </w:tr>
    </w:tbl>
    <w:p>
      <w:pPr>
        <w:spacing w:after="220" w:line="240"/>
        <w:jc w:val="center"/>
      </w:pPr>
      <w:r>
        <w:rPr>
          <w:rFonts w:ascii="Times New Roman" w:cs="Times New Roman" w:eastAsia="Times New Roman" w:hAnsi="Times New Roman"/>
          <w:sz w:val="20"/>
          <w:szCs w:val="20"/>
        </w:rPr>
        <w:t xml:space="preserve">Fonte: elaborado pelos autores (2026).</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Essa decisão foi tomada no planejamento, não sob pressão de prazo. Se a diferença entre pontos planejados e concluídos passar de vinte por cento, o escopo é reduzido — nunca a cobertura de testes exigida pelos requisitos RNF13 e RNF14.</w:t>
      </w:r>
    </w:p>
    <w:p>
      <w:r>
        <w:br w:type="page"/>
      </w:r>
    </w:p>
    <w:p>
      <w:pPr>
        <w:pStyle w:val="Heading1"/>
        <w:spacing w:after="240" w:before="360" w:line="360"/>
      </w:pPr>
      <w:r>
        <w:rPr>
          <w:rFonts w:ascii="Times New Roman" w:cs="Times New Roman" w:eastAsia="Times New Roman" w:hAnsi="Times New Roman"/>
          <w:b/>
          <w:bCs/>
          <w:color w:val="000000"/>
          <w:sz w:val="24"/>
          <w:szCs w:val="24"/>
        </w:rPr>
        <w:t xml:space="preserve">REFERÊNCIAS</w:t>
      </w:r>
    </w:p>
    <w:p>
      <w:pPr>
        <w:spacing w:after="200" w:line="240"/>
      </w:pPr>
      <w:r>
        <w:rPr>
          <w:rFonts w:ascii="Times New Roman" w:cs="Times New Roman" w:eastAsia="Times New Roman" w:hAnsi="Times New Roman"/>
          <w:sz w:val="24"/>
          <w:szCs w:val="24"/>
        </w:rPr>
        <w:t xml:space="preserve">AL-BREIKI, Hamda; REHMAN, Muhammad Habib Ur; SALAH, Khaled; SVETINOVIC, Davor. Trustworthy blockchain oracles: review, comparison, and open research challenges. IEEE Access, v. 8, p. 85675-85685, 2020. DOI: 10.1109/ACCESS.2020.2992698.</w:t>
      </w:r>
    </w:p>
    <w:p>
      <w:pPr>
        <w:spacing w:after="200" w:line="240"/>
      </w:pPr>
      <w:r>
        <w:rPr>
          <w:rFonts w:ascii="Times New Roman" w:cs="Times New Roman" w:eastAsia="Times New Roman" w:hAnsi="Times New Roman"/>
          <w:sz w:val="24"/>
          <w:szCs w:val="24"/>
        </w:rPr>
        <w:t xml:space="preserve">ASSOCIAÇÃO BRASILEIRA DE NORMAS TÉCNICAS. NBR 6023: informação e documentação: referências: elaboração. Rio de Janeiro: ABNT, 2018.</w:t>
      </w:r>
    </w:p>
    <w:p>
      <w:pPr>
        <w:spacing w:after="200" w:line="240"/>
      </w:pPr>
      <w:r>
        <w:rPr>
          <w:rFonts w:ascii="Times New Roman" w:cs="Times New Roman" w:eastAsia="Times New Roman" w:hAnsi="Times New Roman"/>
          <w:sz w:val="24"/>
          <w:szCs w:val="24"/>
        </w:rPr>
        <w:t xml:space="preserve">ASSOCIAÇÃO BRASILEIRA DE NORMAS TÉCNICAS. NBR 14724: informação e documentação: trabalhos acadêmicos: apresentação. Rio de Janeiro: ABNT, 2024.</w:t>
      </w:r>
    </w:p>
    <w:p>
      <w:pPr>
        <w:spacing w:after="200" w:line="240"/>
      </w:pPr>
      <w:r>
        <w:rPr>
          <w:rFonts w:ascii="Times New Roman" w:cs="Times New Roman" w:eastAsia="Times New Roman" w:hAnsi="Times New Roman"/>
          <w:sz w:val="24"/>
          <w:szCs w:val="24"/>
        </w:rPr>
        <w:t xml:space="preserve">FUNDAÇÃO GETULIO VARGAS. Centro de Estudos do Agronegócio. Observatório do Crédito e Seguro Rural. O seguro rural brasileiro em risco. São Paulo: FGV Agro, 2026. Nota técnica.</w:t>
      </w:r>
    </w:p>
    <w:p>
      <w:pPr>
        <w:spacing w:after="200" w:line="240"/>
      </w:pPr>
      <w:r>
        <w:rPr>
          <w:rFonts w:ascii="Times New Roman" w:cs="Times New Roman" w:eastAsia="Times New Roman" w:hAnsi="Times New Roman"/>
          <w:sz w:val="24"/>
          <w:szCs w:val="24"/>
        </w:rPr>
        <w:t xml:space="preserve">INTERNATIONAL ORGANIZATION FOR STANDARDIZATION. ISO/IEC 25010: systems and software engineering: systems and software quality requirements and evaluation (SQuaRE): system and software quality models. Geneva: ISO, 2011.</w:t>
      </w:r>
    </w:p>
    <w:p>
      <w:pPr>
        <w:spacing w:after="200" w:line="240"/>
      </w:pPr>
      <w:r>
        <w:rPr>
          <w:rFonts w:ascii="Times New Roman" w:cs="Times New Roman" w:eastAsia="Times New Roman" w:hAnsi="Times New Roman"/>
          <w:sz w:val="24"/>
          <w:szCs w:val="24"/>
        </w:rPr>
        <w:t xml:space="preserve">MALEKI VISHKAEI, Behzad; TRINDADE, Maria Alice; DE GIOVANNI, Pietro. Blockchain-powered agricultural production and insurance: a game-theoretic model for fraud prevention and smart compensation. International Journal of Production Economics, v. 301, art. 110120, 2026. DOI: 10.1016/j.ijpe.2026.110120.</w:t>
      </w:r>
    </w:p>
    <w:p>
      <w:pPr>
        <w:spacing w:after="200" w:line="240"/>
      </w:pPr>
      <w:r>
        <w:rPr>
          <w:rFonts w:ascii="Times New Roman" w:cs="Times New Roman" w:eastAsia="Times New Roman" w:hAnsi="Times New Roman"/>
          <w:sz w:val="24"/>
          <w:szCs w:val="24"/>
        </w:rPr>
        <w:t xml:space="preserve">MANOJ T.; MAKKITHAYA, Krishnamoorthi; NARENDRA V. G.; VIJAYA MURARI T. Blockchain oracles for decentralized agricultural insurance using trusted IoT data. Frontiers in Blockchain, v. 7, art. 1481339, 2025. DOI: 10.3389/fbloc.2024.1481339.</w:t>
      </w:r>
    </w:p>
    <w:p>
      <w:pPr>
        <w:spacing w:after="200" w:line="240"/>
      </w:pPr>
      <w:r>
        <w:rPr>
          <w:rFonts w:ascii="Times New Roman" w:cs="Times New Roman" w:eastAsia="Times New Roman" w:hAnsi="Times New Roman"/>
          <w:sz w:val="24"/>
          <w:szCs w:val="24"/>
        </w:rPr>
        <w:t xml:space="preserve">MOURA, João Pedro Elias de. SmartPayment: sistema de automação de contratos inteligentes para avaliação e pagamento em desenvolvimento de software. 2025. Trabalho de Conclusão de Curso (Bacharelado em Engenharia de Software) – Faculdade UnB Gama, Universidade de Brasília, Brasília, 2025.</w:t>
      </w:r>
    </w:p>
    <w:p>
      <w:pPr>
        <w:spacing w:after="200" w:line="240"/>
      </w:pPr>
      <w:r>
        <w:rPr>
          <w:rFonts w:ascii="Times New Roman" w:cs="Times New Roman" w:eastAsia="Times New Roman" w:hAnsi="Times New Roman"/>
          <w:sz w:val="24"/>
          <w:szCs w:val="24"/>
        </w:rPr>
        <w:t xml:space="preserve">OBJECT MANAGEMENT GROUP. OMG Unified Modeling Language (UML), version 2.5.1. [S. l.]: OMG, 2017. Disponível em: https://www.omg.org/spec/UML. Acesso em: 16 set. 2026.</w:t>
      </w:r>
    </w:p>
    <w:p>
      <w:pPr>
        <w:spacing w:after="200" w:line="240"/>
      </w:pPr>
      <w:r>
        <w:rPr>
          <w:rFonts w:ascii="Times New Roman" w:cs="Times New Roman" w:eastAsia="Times New Roman" w:hAnsi="Times New Roman"/>
          <w:sz w:val="24"/>
          <w:szCs w:val="24"/>
        </w:rPr>
        <w:t xml:space="preserve">PASDAR, Amirmohammad; LEE, Young Choon; DONG, Zhongli. Connect API with blockchain: a survey on blockchain oracle implementation. ACM Computing Surveys, v. 55, n. 10, p. 1-39, 2023. DOI: 10.1145/3567582.</w:t>
      </w:r>
    </w:p>
    <w:p>
      <w:pPr>
        <w:spacing w:after="200" w:line="240"/>
      </w:pPr>
      <w:r>
        <w:rPr>
          <w:rFonts w:ascii="Times New Roman" w:cs="Times New Roman" w:eastAsia="Times New Roman" w:hAnsi="Times New Roman"/>
          <w:sz w:val="24"/>
          <w:szCs w:val="24"/>
        </w:rPr>
        <w:t xml:space="preserve">SAFEER, Sajid; GALLO, Pierluigi; PULVENTO, Cataldo. Agri-farming with computer vision, IoT and blockchain towards climate smart cultivation. Internet of Things, v. 34, art. 101749, 2025. DOI: 10.1016/j.iot.2025.101749.</w:t>
      </w:r>
    </w:p>
    <w:p>
      <w:pPr>
        <w:spacing w:after="200" w:line="240"/>
      </w:pPr>
      <w:r>
        <w:rPr>
          <w:rFonts w:ascii="Times New Roman" w:cs="Times New Roman" w:eastAsia="Times New Roman" w:hAnsi="Times New Roman"/>
          <w:sz w:val="24"/>
          <w:szCs w:val="24"/>
        </w:rPr>
        <w:t xml:space="preserve">SCHWABER, Ken; SUTHERLAND, Jeff. O guia do Scrum: as regras do jogo. [S. l.]: Scrum.org, 2020. Disponível em: https://scrumguides.org. Acesso em: 16 set. 2026.</w:t>
      </w:r>
    </w:p>
    <w:p>
      <w:pPr>
        <w:spacing w:after="200" w:line="240"/>
      </w:pPr>
      <w:r>
        <w:rPr>
          <w:rFonts w:ascii="Times New Roman" w:cs="Times New Roman" w:eastAsia="Times New Roman" w:hAnsi="Times New Roman"/>
          <w:sz w:val="24"/>
          <w:szCs w:val="24"/>
        </w:rPr>
        <w:t xml:space="preserve">SOMMERVILLE, Ian. Engenharia de software. 10. ed. São Paulo: Pearson Education do Brasil, 2019.</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3856959df3130a1c16efe7319c627da90eca4a.png"/><Relationship Id="rId8" Type="http://schemas.openxmlformats.org/officeDocument/2006/relationships/image" Target="media/b2712f92b30dbf9092abce27a7c4e09f8664daf9.png"/><Relationship Id="rId9" Type="http://schemas.openxmlformats.org/officeDocument/2006/relationships/image" Target="media/bf824178b89caf25797954135a3eaabb2b50456b.png"/><Relationship Id="rId10" Type="http://schemas.openxmlformats.org/officeDocument/2006/relationships/image" Target="media/8f07127caf2d3b335f88f58080950a17c00f1601.png"/><Relationship Id="rId11" Type="http://schemas.openxmlformats.org/officeDocument/2006/relationships/image" Target="media/f59226550076bab810c4201702074f6239226e4d.png"/><Relationship Id="rId12" Type="http://schemas.openxmlformats.org/officeDocument/2006/relationships/image" Target="media/0e00a731f2895964c256e1eb841a9e74b2259da4.png"/><Relationship Id="rId13" Type="http://schemas.openxmlformats.org/officeDocument/2006/relationships/image" Target="media/9122980c7a1da3d644fe8c9e197ab9668996cc64.png"/><Relationship Id="rId14" Type="http://schemas.openxmlformats.org/officeDocument/2006/relationships/image" Target="media/9de07c379816777e19a335d632039ab8764f7403.png"/><Relationship Id="rId15" Type="http://schemas.openxmlformats.org/officeDocument/2006/relationships/image" Target="media/605ca1d86efea2a50bc6cda5de50fc2a5c9acb7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2026-09-17T22:13:38.694Z</dcterms:created>
  <dcterms:modified xsi:type="dcterms:W3CDTF">2026-09-17T22:13:38.695Z</dcterms:modified>
</cp:coreProperties>
</file>

<file path=docProps/custom.xml><?xml version="1.0" encoding="utf-8"?>
<Properties xmlns="http://schemas.openxmlformats.org/officeDocument/2006/custom-properties" xmlns:vt="http://schemas.openxmlformats.org/officeDocument/2006/docPropsVTypes"/>
</file>