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AGROSMART</w:t>
      </w:r>
    </w:p>
    <w:p>
      <w:pPr>
        <w:spacing w:after="4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0"/>
          <w:szCs w:val="30"/>
        </w:rPr>
        <w:t xml:space="preserve">Manual da equipe</w:t>
      </w:r>
    </w:p>
    <w:p>
      <w:pPr>
        <w:spacing w:after="8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Como construir o sistema em 5 semanas</w:t>
      </w:r>
    </w:p>
    <w:p>
      <w:pPr>
        <w:spacing w:after="60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Documento interno — não faz parte da entrega acadêmica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 Victória · Beatriz · Bruno · Gabriel · Lamys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O que vamos entregar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 dia 26 de outubro precisamos ter uma coisa só funcionando, e ela cabe em cinco minutos de demonstração: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BF0D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Abrimos o aplicativo, contratamos uma apólice para um talhão. Rodamos o simulador no modo "estiagem severa". Depois de trinta dias simulados sem chuva, o contrato inteligente dispara sozinho e o dinheiro aparece na carteira do produtor. Copiamos o código da transação, colamos no explorador da rede e mostramos para a banca que aquilo aconteceu de verdade, sem ninguém apertar botão nenhum.</w:t>
            </w:r>
          </w:p>
        </w:tc>
      </w:tr>
    </w:tbl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Tudo o que está neste manual existe para chegar nesse roteiro. Se alguma tarefa não contribui para ele, ela é opcional.</w:t>
      </w:r>
    </w:p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O que é simulado e o que é real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Ninguém vai instalar sensor em fazenda nem pilotar drone. Veja o que é o quê: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1"/>
      </w:tblGrid>
      <w:tr>
        <w:trPr>
          <w:tblHeader/>
        </w:trPr>
        <w:tc>
          <w:tcPr>
            <w:tcW w:type="dxa" w:w="26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Peça</w:t>
            </w:r>
          </w:p>
        </w:tc>
        <w:tc>
          <w:tcPr>
            <w:tcW w:type="dxa" w:w="6471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Como funciona no nosso projeto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Sensores de chuva</w:t>
            </w:r>
          </w:p>
        </w:tc>
        <w:tc>
          <w:tcPr>
            <w:tcW w:type="dxa" w:w="6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Um programa em Python que publica leituras. Alimentamos com dados históricos reais do INMET.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Imagens de drone</w:t>
            </w:r>
          </w:p>
        </w:tc>
        <w:tc>
          <w:tcPr>
            <w:tcW w:type="dxa" w:w="6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Banco de imagens público de lavouras, baixado da internet.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Rede de teste (Sepolia). O dinheiro é de mentira e o gas é gratuito por faucet.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 inteligente</w:t>
            </w:r>
          </w:p>
        </w:tc>
        <w:tc>
          <w:tcPr>
            <w:tcW w:type="dxa" w:w="6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Real, escrito em Solidity por nós, rodando de verdade na rede de teste.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Oráculo</w:t>
            </w:r>
          </w:p>
        </w:tc>
        <w:tc>
          <w:tcPr>
            <w:tcW w:type="dxa" w:w="6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Real, escrito por nós. Versão simplificada: um único endereço autorizado.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Aplicativo</w:t>
            </w:r>
          </w:p>
        </w:tc>
        <w:tc>
          <w:tcPr>
            <w:tcW w:type="dxa" w:w="64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Real, em React, rodando no navegador.</w:t>
            </w:r>
          </w:p>
        </w:tc>
      </w:tr>
    </w:tbl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Ou seja: a parte que é o objeto do TCC — contrato, oráculo, travessia de dados — é toda real. O que simulamos é só a origem dos dados.</w:t>
      </w:r>
    </w:p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Como as peças se encaixam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é o desenho do sistema. Vale olhar com calma, porque tudo no manual se refere a ele.</w:t>
      </w:r>
    </w:p>
    <w:p>
      <w:pPr>
        <w:spacing w:after="140" w:before="140"/>
        <w:jc w:val="center"/>
      </w:pPr>
      <w:r>
        <w:drawing>
          <wp:inline distT="0" distB="0" distL="0" distR="0">
            <wp:extent cx="5476875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leitura é de cima para baixo: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telas (React) falam com o back-end.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back-end guarda dados no banco, recebe leituras do simulador e chama o módulo de visão.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back-end entrega os dois índices — clima e dano — para o serviço de oráculo.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oráculo assina e publica esses índices na blockchain. Essa é a linha tracejada laranja, a fronteira.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Dentro da blockchain, o contrato confere se quem publicou tinha autorização, avalia a condição e, se bater, paga.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BF0D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linha tracejada laranja é o coração do TCC. Tudo acima dela é programação normal. Tudo abaixo é código que, uma vez publicado, ninguém consegue mudar — nem nós.</w:t>
            </w:r>
          </w:p>
        </w:tc>
      </w:tr>
    </w:tbl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Quem faz o quê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Somos cinco. Cada pessoa tem um território próprio, para ninguém ficar esperando pelo outro. As entregas de cada um estão no capítulo 6.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071"/>
      </w:tblGrid>
      <w:tr>
        <w:trPr>
          <w:tblHeader/>
        </w:trPr>
        <w:tc>
          <w:tcPr>
            <w:tcW w:type="dxa" w:w="14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22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4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Tecnologias</w:t>
            </w:r>
          </w:p>
        </w:tc>
        <w:tc>
          <w:tcPr>
            <w:tcW w:type="dxa" w:w="3071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Entregas principais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[definir]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Solidity, Hardhat</w:t>
            </w:r>
          </w:p>
        </w:tc>
        <w:tc>
          <w:tcPr>
            <w:tcW w:type="dxa" w:w="3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ApolicePolicy.sol, OracleRegistry.sol, testes automatizados, relatório de gas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Oráculo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[definir]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Node.js, ethers.js</w:t>
            </w:r>
          </w:p>
        </w:tc>
        <w:tc>
          <w:tcPr>
            <w:tcW w:type="dxa" w:w="3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que assina e publica na rede; vinculação da carteira do produtor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[definir]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Python, MQTT, Node.js</w:t>
            </w:r>
          </w:p>
        </w:tc>
        <w:tc>
          <w:tcPr>
            <w:tcW w:type="dxa" w:w="3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Simulador de sensores, serviço de ingestão, consolidação do índice climático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[definir]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React, ethers.js</w:t>
            </w:r>
          </w:p>
        </w:tc>
        <w:tc>
          <w:tcPr>
            <w:tcW w:type="dxa" w:w="3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Login, cadastro de talhão, cotação, contratação, painel da seguradora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[definir]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Python, PyTorch, FastAPI</w:t>
            </w:r>
          </w:p>
        </w:tc>
        <w:tc>
          <w:tcPr>
            <w:tcW w:type="dxa" w:w="3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que estima o índice de dano, API de inferência, métricas do modelo</w:t>
            </w:r>
          </w:p>
        </w:tc>
      </w:tr>
    </w:tbl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BF0D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Escolham os papéis na primeira reunião e escrevam os nomes aqui. Quem estiver mais inseguro deve ficar com Dados ou Interfaces, que são as trilhas com menos conceito novo — e peça ajuda cedo, não na véspera.</w:t>
            </w:r>
          </w:p>
        </w:tc>
      </w:tr>
    </w:tbl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Além do território próprio, todo mundo tem duas obrigações comuns: aparecer na reunião semanal e abrir pull request do que fez, para outra pessoa revisar.</w:t>
      </w:r>
    </w:p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Preparar o ambiente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Faça isto na primeira semana, antes de qualquer código. Se travar em algum passo, avise o grupo no mesmo dia.</w:t>
      </w:r>
    </w:p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4.1 Instalar as ferramentas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Todo mundo precisa de: Git, Node.js versão 20 ou superior, Python 3.11 ou superior, e uma conta no GitHub. Quem for mexer com contratos precisa também da extensão MetaMask no navegador.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4F5F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conferir se já está instalado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--version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--version      # precisa ser 20 ou maior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python3 --version   # precisa ser 3.11 ou maior</w:t>
            </w:r>
          </w:p>
        </w:tc>
      </w:tr>
    </w:tbl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4.2 Clonar o repositório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4F5F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https://github.com/&lt;organizacao&gt;/agrosmart.git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agrosmart</w:t>
            </w:r>
          </w:p>
        </w:tc>
      </w:tr>
    </w:tbl>
    <w:p>
      <w:pPr>
        <w:spacing w:after="120" w:before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estrutura de pastas combinada é esta: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4F5F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agrosmart/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contratos/        # Solidity + Hardhat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oraculo/          # Node.js: assina e publica na rede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backend/          # Node.js: API, ingestão, banco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simulador/        # Python: sensores por MQTT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visao/            # Python: modelo e API de inferência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app/              # React: produtor e seguradora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docs/             # documentação e relatórios</w:t>
            </w:r>
          </w:p>
        </w:tc>
      </w:tr>
    </w:tbl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4.3 Criar a carteira de teste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Instale a extensão MetaMask no navegador.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Crie uma carteira nova — não use nenhuma que você já tenha com dinheiro real.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Troque a rede para Sepolia.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Pegue gas gratuito em um faucet de Sepolia. Cada pessoa pega o seu.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BF0D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Nunca, em hipótese alguma, coloque a frase de recuperação ou a chave privada dentro do código ou do GitHub. Elas ficam só no arquivo .env de cada um, e o .env está no .gitignore.</w:t>
            </w:r>
          </w:p>
        </w:tc>
      </w:tr>
    </w:tbl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4.4 Subir o ambiente dos contratos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4F5F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contratos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hardhat compile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hardhat test          # roda os testes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hardhat node          # sobe uma blockchain local para testar</w:t>
            </w:r>
          </w:p>
        </w:tc>
      </w:tr>
    </w:tbl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4.5 Subir o back-end e o simulador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4F5F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backend &amp;&amp; npm install &amp;&amp; npm run dev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../simulador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python3 -m venv .venv &amp;&amp; source .venv/bin/activate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simulador.py --cenario estiagem_severa</w:t>
            </w:r>
          </w:p>
        </w:tc>
      </w:tr>
    </w:tbl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Entendendo o contrato inteligente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é a peça que mais assusta quem nunca viu, mas ela é pequena. O contrato da apólice tem basicamente quatro coisas: os termos guardados, quem pode publicar dado, a conta do gatilho e o pagamento.</w:t>
      </w:r>
    </w:p>
    <w:p>
      <w:pPr>
        <w:spacing w:after="120" w:before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é o esqueleto, só para vocês entenderem a forma. O código de verdade vem na Sprint 1.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4F5F7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SPDX-License-Identifier: MIT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pragma solidity ^0.8.20;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 ApolicePolicy {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address public seguradora;      // quem emitiu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address public produtor;        // quem recebe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address public oraculo;         // único autorizado a publicar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uint256 public limiarDiasSemChuva;   // condição contratada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uint256 public valorIndenizacao;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bool    public jaPagou;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mapping(uint256 =&gt; bool) public periodoPublicado;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event DadosPublicados(uint256 periodo, uint256 indice);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event PagamentoExecutado(address produtor, uint256 valor);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modifier somenteOraculo() {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require(msg.sender == oraculo, "origem nao autorizada");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publicarIndice(uint256 periodo, uint256 diasSemChuva)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external somenteOraculo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require(!periodoPublicado[periodo], "periodo ja publicado");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periodoPublicado[periodo] = true;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emit DadosPublicados(periodo, diasSemChuva);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(diasSemChuva &gt;= limiarDiasSemChuva &amp;&amp; !jaPagou) {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jaPagou = true;                       // estado ANTES de pagar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(bool ok, ) = produtor.call{value: valorIndenizacao}("");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require(ok, "falha na transferencia");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emit PagamentoExecutado(produtor, valorIndenizacao);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3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Três detalhes desse código valem ouro na apresentação: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modifier somenteOraculo é o controle de acesso. Sem ele, qualquer pessoa publicaria dados falsos e receberia o dinheiro.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linha jaPagou = true vem antes da transferência. Isso é a proteção contra reentrância: se invertermos a ordem, um contrato malicioso consegue sacar várias vezes.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eventos são o que o back-end escuta para saber que algo aconteceu e atualizar a tela do produtor.</w:t>
      </w:r>
    </w:p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O que fazer, semana a semana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São três sprints até 26 de outubro. Cada sprint termina com uma demonstração do que funciona — não com um relatório do que foi tentado.</w:t>
      </w:r>
    </w:p>
    <w:p>
      <w:pPr>
        <w:spacing w:after="140" w:before="140"/>
        <w:jc w:val="center"/>
      </w:pPr>
      <w:r>
        <w:drawing>
          <wp:inline distT="0" distB="0" distL="0" distR="0">
            <wp:extent cx="5619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Sprint 1 — de 21/09 a 02/10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Meta: o contrato existe, roda na máquina de todo mundo e passa nos testes.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71"/>
      </w:tblGrid>
      <w:tr>
        <w:trPr>
          <w:tblHeader/>
        </w:trPr>
        <w:tc>
          <w:tcPr>
            <w:tcW w:type="dxa" w:w="17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7371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precisa estar pronto em 02/10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ApolicePolicy.sol e OracleRegistry.sol compilando; testes cobrindo publicação válida, endereço não autorizado e período duplicado; relatório de gas gerado.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Oráculo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Ambiente configurado, carteira de teste com gas, script que consegue chamar uma função do contrato local.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Simulador publicando leituras por MQTT com os três cenários (estiagem severa, moderada e safra normal).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Tela de login funcionando com os três perfis; estrutura do projeto React criada.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Conjunto de imagens escolhido e baixado; ambiente Python montado; primeiro treino rodando, mesmo com resultado ruim.</w:t>
            </w:r>
          </w:p>
        </w:tc>
      </w:tr>
    </w:tbl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BF0D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Marco da Sprint 1: rodar npx hardhat test e ver todos os testes passando, com o teste de "endereço não autorizado" falhando de propósito quando deve falhar.</w:t>
            </w:r>
          </w:p>
        </w:tc>
      </w:tr>
    </w:tbl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Sprint 2 — de 05/10 a 16/10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Meta: a travessia funciona. O dado sai do simulador, passa pelo oráculo e chega no contrato.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71"/>
      </w:tblGrid>
      <w:tr>
        <w:trPr>
          <w:tblHeader/>
        </w:trPr>
        <w:tc>
          <w:tcPr>
            <w:tcW w:type="dxa" w:w="17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7371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precisa estar pronto em 16/10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Pagamento atômico e protegido contra reentrância; teste com contrato malicioso comprovando a proteção.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Oráculo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assinando e publicando os índices na Sepolia; gravando hash da transação e gas consumido.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de ingestão validando leituras, descartando valores absurdos e consolidando o índice do período.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Vinculação da carteira por assinatura de mensagem funcionando no navegador.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treinado com métrica medida (acurácia ou IoU); API de inferência respondendo.</w:t>
            </w:r>
          </w:p>
        </w:tc>
      </w:tr>
    </w:tbl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BF0D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Marco da Sprint 2: rodar o simulador em estiagem severa e ver o pagamento acontecer sozinho na Sepolia. Se isso funcionar em 16/10, o TCC está salvo.</w:t>
            </w:r>
          </w:p>
        </w:tc>
      </w:tr>
    </w:tbl>
    <w:p>
      <w:pPr>
        <w:pStyle w:val="Heading2"/>
        <w:spacing w:after="140" w:before="260" w:line="30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Sprint 3 — de 19/10 a 26/10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Meta: embrulhar tudo em uma interface apresentável e medir os resultados.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71"/>
      </w:tblGrid>
      <w:tr>
        <w:trPr>
          <w:tblHeader/>
        </w:trPr>
        <w:tc>
          <w:tcPr>
            <w:tcW w:type="dxa" w:w="17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7371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precisa estar pronto em 26/10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Números finais de gas por função, organizados em tabela para o artigo.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Oráculo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Medição de latência entre publicar e confirmar; execução dos quatro cenários.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Cenários experimentais rodados e resultados exportados.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Interfaces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Cadastro de talhão no mapa, cotação e contratação pelo aplicativo.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Visão computacional</w:t>
            </w:r>
          </w:p>
        </w:tc>
        <w:tc>
          <w:tcPr>
            <w:tcW w:type="dxa" w:w="73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de dano integrado ao fluxo, com versão do modelo registrada.</w:t>
            </w:r>
          </w:p>
        </w:tc>
      </w:tr>
    </w:tbl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shd w:fill="FBF0D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Marco da Sprint 3: a demonstração de cinco minutos do capítulo 1, ensaiada pelo menos duas vezes antes do dia.</w:t>
            </w:r>
          </w:p>
        </w:tc>
      </w:tr>
    </w:tbl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Como medir os resultados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TCC não é só um programa que funciona; é uma pesquisa. Precisamos de números. São quatro medidas, coletadas na Sprint 3: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71"/>
      </w:tblGrid>
      <w:tr>
        <w:trPr>
          <w:tblHeader/>
        </w:trPr>
        <w:tc>
          <w:tcPr>
            <w:tcW w:type="dxa" w:w="24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30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Como coletar</w:t>
            </w:r>
          </w:p>
        </w:tc>
        <w:tc>
          <w:tcPr>
            <w:tcW w:type="dxa" w:w="3671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Por que importa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Gas por função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 automático do Hardhat (hardhat-gas-reporter)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Mostra que a travessia custa mais que a lógica de negócio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Latência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Tempo entre enviar a transação e ela ser confirmada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Compara rede local com rede pública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Desempenho do modelo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Acurácia e IoU no conjunto de teste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Mostra se o índice de dano é confiável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Comportamento sob falha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Derrubar o oráculo por um período e religar</w:t>
            </w:r>
          </w:p>
        </w:tc>
        <w:tc>
          <w:tcPr>
            <w:tcW w:type="dxa" w:w="36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Prova que nenhum dado se perde</w:t>
            </w:r>
          </w:p>
        </w:tc>
      </w:tr>
    </w:tbl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Existe um resultado que esperamos encontrar, e vale conferir: em trabalhos parecidos, as funções que atravessam a fronteira consomem cerca de dez vezes mais gas do que as funções internas do contrato. Se os nossos números confirmarem isso, temos um achado de engenharia para defender.</w:t>
      </w:r>
    </w:p>
    <w:p>
      <w:r>
        <w:br w:type="page"/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Regras de trabalho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Ninguém commita direto na branch principal. Sempre branch própria e pull request.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pull request precisa da revisão de pelo menos uma outra pessoa antes de entrar.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tarefa só está pronta quando: o código está na branch principal, tem teste, e outra pessoa conseguiu rodar na máquina dela.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Reunião semanal de trinta minutos: o que fiz, o que vou fazer, o que está me travando.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Travou por mais de um dia? Avise no grupo. Ficar travado em silêncio é o que mais atrasa projeto.</w:t>
      </w:r>
    </w:p>
    <w:p>
      <w:pPr>
        <w:pStyle w:val="ListParagraph"/>
        <w:numPr>
          <w:ilvl w:val="0"/>
          <w:numId w:val="2"/>
        </w:numPr>
        <w:spacing w:after="7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Chave privada e senha nunca entram no repositório. Só no arquivo .env local.</w:t>
      </w:r>
    </w:p>
    <w:p>
      <w:pPr>
        <w:pStyle w:val="Heading1"/>
        <w:spacing w:after="200" w:before="340" w:lin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9. Glossário para quem está perdido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tblHeader/>
        </w:trPr>
        <w:tc>
          <w:tcPr>
            <w:tcW w:type="dxa" w:w="2200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6871"/>
            <w:shd w:fill="E8ECE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 que significa, sem enrolação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Um banco de dados copiado em milhares de computadores. Depois que algo entra, ninguém consegue apagar.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Contrato inteligente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Um programa que mora dentro da blockchain. Executa sozinho e nem quem escreveu consegue alterar depois.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Solidity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linguagem de programação em que se escreve contrato inteligente. Parece JavaScript.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Hardhat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ferramenta que compila, testa e publica os contratos. É o nosso ambiente de trabalho.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Gas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preço de executar uma instrução na blockchain. Cada operação custa; por isso o código precisa ser enxuto.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Rede de teste (Sepolia)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Uma blockchain igual à de verdade, mas com dinheiro de brinquedo. É onde vamos trabalhar.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Carteira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programa que guarda sua chave e assina transações. Usaremos a MetaMask.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Chave privada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senha que controla a carteira. Quem tem ela tem o dinheiro. Nunca compartilhe.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Oráculo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programa que leva dados de fora para dentro da blockchain. Existe porque o contrato não consegue acessar a internet sozinho.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Um resumo de tamanho fixo de um arquivo. Serve para provar que o arquivo não foi alterado.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Reentrância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Um ataque em que o contrato é chamado de novo no meio de um pagamento e paga duas vezes. Evita-se atualizando o estado antes de transferir.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Seguro paramétrico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Seguro que paga quando um número medido cruza um limite, sem precisar de perito ir ao local.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de dano</w:t>
            </w:r>
          </w:p>
        </w:tc>
        <w:tc>
          <w:tcPr>
            <w:tcW w:type="dxa" w:w="68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Um número de 0 a 100 que diz quanto da lavoura foi afetada, calculado pelo modelo a partir das fotos.</w:t>
            </w:r>
          </w:p>
        </w:tc>
      </w:tr>
    </w:tbl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 um termo não está aqui e você não entendeu, pergunte no grupo. A chance de outra pessoa estar com a mesma dúvida é alta.</w:t>
      </w:r>
    </w:p>
    <w:sectPr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07127caf2d3b335f88f58080950a17c00f1601.png"/><Relationship Id="rId8" Type="http://schemas.openxmlformats.org/officeDocument/2006/relationships/image" Target="media/605ca1d86efea2a50bc6cda5de50fc2a5c9acb7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2026-09-16T23:56:48.840Z</dcterms:created>
  <dcterms:modified xsi:type="dcterms:W3CDTF">2026-09-16T23:56:48.840Z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