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400"/>
        <w:jc w:val="center"/>
      </w:pPr>
      <w:r>
        <w:rPr>
          <w:rFonts w:ascii="Arial" w:cs="Arial" w:eastAsia="Arial" w:hAnsi="Arial"/>
          <w:b/>
          <w:bCs/>
          <w:color w:val="1B3A4B"/>
          <w:sz w:val="48"/>
          <w:szCs w:val="48"/>
        </w:rPr>
        <w:t xml:space="preserve">ISLAND MOUNTAIN</w:t>
      </w:r>
    </w:p>
    <w:p>
      <w:pPr>
        <w:spacing w:after="600"/>
        <w:jc w:val="center"/>
      </w:pPr>
      <w:r>
        <w:rPr>
          <w:rFonts w:ascii="Arial" w:cs="Arial" w:eastAsia="Arial" w:hAnsi="Arial"/>
          <w:color w:val="555555"/>
          <w:sz w:val="32"/>
          <w:szCs w:val="32"/>
        </w:rPr>
        <w:t xml:space="preserve">Local AI Infrastructure Proposal</w:t>
      </w:r>
    </w:p>
    <w:p>
      <w:pPr>
        <w:spacing w:after="100"/>
      </w:pPr>
    </w:p>
    <w:p>
      <w:pPr>
        <w:spacing w:after="100"/>
      </w:pPr>
    </w:p>
    <w:p>
      <w:pPr>
        <w:spacing w:after="200"/>
        <w:jc w:val="center"/>
      </w:pPr>
      <w:r>
        <w:rPr>
          <w:color w:val="777777"/>
          <w:sz w:val="22"/>
          <w:szCs w:val="22"/>
        </w:rPr>
        <w:t xml:space="preserve">Prepared for:</w:t>
      </w:r>
    </w:p>
    <w:p>
      <w:pPr>
        <w:spacing w:after="600"/>
        <w:jc w:val="center"/>
      </w:pPr>
      <w:r>
        <w:rPr>
          <w:b/>
          <w:bCs/>
          <w:sz w:val="28"/>
          <w:szCs w:val="28"/>
        </w:rPr>
        <w:t xml:space="preserve">Shoalwater Bay Indian Tribe</w:t>
      </w:r>
    </w:p>
    <w:p>
      <w:pPr>
        <w:spacing w:after="100"/>
      </w:pPr>
    </w:p>
    <w:p>
      <w:pPr>
        <w:spacing w:after="100"/>
      </w:pPr>
    </w:p>
    <w:p>
      <w:pPr>
        <w:spacing w:after="100"/>
      </w:pPr>
    </w:p>
    <w:p>
      <w:pPr>
        <w:spacing w:after="100"/>
      </w:pPr>
    </w:p>
    <w:p>
      <w:pPr>
        <w:spacing w:after="100"/>
        <w:jc w:val="center"/>
      </w:pPr>
      <w:r>
        <w:rPr>
          <w:color w:val="555555"/>
          <w:sz w:val="20"/>
          <w:szCs w:val="20"/>
        </w:rPr>
        <w:t xml:space="preserve">Prepared by: Island Mountain LLC</w:t>
      </w:r>
    </w:p>
    <w:p>
      <w:pPr>
        <w:spacing w:after="100"/>
        <w:jc w:val="center"/>
      </w:pPr>
      <w:r>
        <w:rPr>
          <w:color w:val="555555"/>
          <w:sz w:val="20"/>
          <w:szCs w:val="20"/>
        </w:rPr>
        <w:t xml:space="preserve">Date: May 2026</w:t>
      </w:r>
    </w:p>
    <w:p>
      <w:pPr>
        <w:spacing w:after="100"/>
      </w:pPr>
    </w:p>
    <w:p>
      <w:pPr>
        <w:spacing w:after="80"/>
        <w:jc w:val="center"/>
      </w:pPr>
      <w:r>
        <w:rPr>
          <w:color w:val="555555"/>
          <w:sz w:val="20"/>
          <w:szCs w:val="20"/>
        </w:rPr>
        <w:t xml:space="preserve">John Dougherty, Hardware &amp; Configuration</w:t>
      </w:r>
    </w:p>
    <w:p>
      <w:pPr>
        <w:spacing w:after="80"/>
        <w:jc w:val="center"/>
      </w:pPr>
      <w:r>
        <w:rPr>
          <w:color w:val="555555"/>
          <w:sz w:val="20"/>
          <w:szCs w:val="20"/>
        </w:rPr>
        <w:t xml:space="preserve">Basho Parks, Sales &amp; Deployment</w:t>
      </w:r>
    </w:p>
    <w:p>
      <w:pPr>
        <w:spacing w:after="80"/>
        <w:jc w:val="center"/>
      </w:pPr>
      <w:r>
        <w:rPr>
          <w:color w:val="555555"/>
          <w:sz w:val="20"/>
          <w:szCs w:val="20"/>
        </w:rPr>
        <w:t xml:space="preserve">1-801-609-1130  |  info@islandmountain.io</w:t>
      </w:r>
    </w:p>
    <w:p>
      <w:pPr>
        <w:jc w:val="center"/>
      </w:pPr>
      <w:r>
        <w:rPr>
          <w:color w:val="555555"/>
          <w:sz w:val="20"/>
          <w:szCs w:val="20"/>
        </w:rPr>
        <w:t xml:space="preserve">islandmountain.io</w:t>
      </w:r>
    </w:p>
    <w:p>
      <w:pPr>
        <w:sectPr>
          <w:pgSz w:w="12240" w:h="15840" w:orient="portrait"/>
          <w:pgMar w:top="1440" w:right="1440" w:bottom="1440" w:left="1440" w:header="708" w:footer="708" w:gutter="0"/>
          <w:pgNumType/>
          <w:docGrid w:linePitch="360"/>
        </w:sectPr>
      </w:pPr>
    </w:p>
    <w:p>
      <w:pPr>
        <w:pStyle w:val="Heading1"/>
      </w:pPr>
      <w:r>
        <w:rPr>
          <w:b/>
          <w:bCs/>
        </w:rPr>
        <w:t xml:space="preserve">Executive Summary</w:t>
      </w:r>
    </w:p>
    <w:p>
      <w:pPr>
        <w:spacing w:after="200"/>
      </w:pPr>
      <w:r>
        <w:t xml:space="preserve">The Shoalwater Bay Indian Tribe operates seven departments that generate, process, and store sensitive data daily: Fiscal, Public Safety, Executive, IT, PUD, Wildlife, and Fisheries. Each department produces documents, analyses, and communications that contain tribal member information, natural resource data, law enforcement records, utility operations, and sovereign governance decisions. When any of that data enters a cloud AI platform, it leaves tribal jurisdiction and enters infrastructure controlled by Amazon, Microsoft, or Google.</w:t>
      </w:r>
    </w:p>
    <w:p>
      <w:pPr>
        <w:spacing w:after="200"/>
      </w:pPr>
      <w:r>
        <w:t xml:space="preserve">OCAP Principles (Ownership, Control, Access, Possession) and the CARE Principles for Indigenous Data Governance both require that tribal nations maintain physical possession of their data and control over how it is used. Cloud-based AI services violate these principles by design: the data must travel to a third-party data center for processing, and the tribal nation cannot audit, restrict, or reclaim that data once it arrives.</w:t>
      </w:r>
    </w:p>
    <w:p>
      <w:pPr>
        <w:spacing w:after="200"/>
      </w:pPr>
      <w:r>
        <w:t xml:space="preserve">Island Mountain builds pre-configured, burn-tested AI inference servers that operate entirely within your facility. No internet connection required after setup. No per-token fees. No third-party data access. The hardware sits in your building, under your physical control, processing your data without it ever leaving tribal land.</w:t>
      </w:r>
    </w:p>
    <w:p>
      <w:pPr>
        <w:spacing w:after="200"/>
      </w:pPr>
      <w:r>
        <w:t xml:space="preserve">For the Shoalwater Bay Tribe's operational scope across seven departments and an estimated 15-25 active users, we recommend the </w:t>
      </w:r>
      <w:r>
        <w:rPr>
          <w:b/>
          <w:bCs/>
        </w:rPr>
        <w:t xml:space="preserve">Summit Base</w:t>
      </w:r>
      <w:r>
        <w:t xml:space="preserve"> configuration at </w:t>
      </w:r>
      <w:r>
        <w:rPr>
          <w:b/>
          <w:bCs/>
        </w:rPr>
        <w:t xml:space="preserve">$75,000 - $85,000</w:t>
      </w:r>
      <w:r>
        <w:t xml:space="preserve">. This is a one-time hardware purchase with a 1-year warranty and 30 days of on-site deployment support.</w:t>
      </w:r>
    </w:p>
    <w:p>
      <w:r>
        <w:br w:type="page"/>
      </w:r>
    </w:p>
    <w:p>
      <w:pPr>
        <w:pStyle w:val="Heading1"/>
      </w:pPr>
      <w:r>
        <w:rPr>
          <w:b/>
          <w:bCs/>
        </w:rPr>
        <w:t xml:space="preserve">The Problem: Cloud AI Under Tribal Sovereignty</w:t>
      </w:r>
    </w:p>
    <w:p>
      <w:pPr>
        <w:spacing w:after="200"/>
      </w:pPr>
      <w:r>
        <w:t xml:space="preserve">The Shoalwater Bay Tribe is a federally recognized sovereign nation. That sovereignty extends to data generated by tribal governance, enrolled member services, natural resource management, law enforcement, and utility operations. When tribal staff use cloud AI services, the following structural conflicts arise:</w:t>
      </w:r>
    </w:p>
    <w:p>
      <w:pPr>
        <w:spacing w:after="200"/>
      </w:pPr>
      <w:r>
        <w:rPr>
          <w:b/>
          <w:bCs/>
        </w:rPr>
        <w:t xml:space="preserve">OCAP Violation: Loss of Possession. </w:t>
      </w:r>
      <w:r>
        <w:t xml:space="preserve">Cloud AI requires data to leave your network and travel to a data center in Virginia, Oregon, or Texas. The tribal nation cannot verify where that data resides, who accesses it, or whether it persists after processing. OCAP's Possession principle requires that tribal data remain on infrastructure the nation physically controls.</w:t>
      </w:r>
    </w:p>
    <w:p>
      <w:pPr>
        <w:spacing w:after="200"/>
      </w:pPr>
      <w:r>
        <w:rPr>
          <w:b/>
          <w:bCs/>
        </w:rPr>
        <w:t xml:space="preserve">CLOUD Act Exposure. </w:t>
      </w:r>
      <w:r>
        <w:t xml:space="preserve">Under the U.S. CLOUD Act (2018), federal law enforcement can compel cloud providers to produce data stored on their servers regardless of where it is physically located. Tribal sovereign immunity does not extend to third-party infrastructure. Data on AWS is subject to subpoena; data on tribal land is subject to tribal jurisdiction.</w:t>
      </w:r>
    </w:p>
    <w:p>
      <w:pPr>
        <w:spacing w:after="200"/>
      </w:pPr>
      <w:r>
        <w:rPr>
          <w:b/>
          <w:bCs/>
        </w:rPr>
        <w:t xml:space="preserve">CARE Principles Conflict. </w:t>
      </w:r>
      <w:r>
        <w:t xml:space="preserve">The CARE Principles (Collective Benefit, Authority to Control, Responsibility, Ethics) require that Indigenous data governance decisions remain with the community. Cloud AI providers make unilateral decisions about data retention, model training, and access policies. The tribe has no seat at that table.</w:t>
      </w:r>
    </w:p>
    <w:p>
      <w:pPr>
        <w:spacing w:after="200"/>
      </w:pPr>
      <w:r>
        <w:rPr>
          <w:b/>
          <w:bCs/>
        </w:rPr>
        <w:t xml:space="preserve">Fisheries and Wildlife Data Sensitivity. </w:t>
      </w:r>
      <w:r>
        <w:t xml:space="preserve">Catch data, species population surveys, habitat assessments, and resource management plans contain information with direct economic and treaty-rights implications. This data informs negotiations with state and federal agencies. Allowing it to transit third-party infrastructure creates exposure that no Terms of Service can mitigate.</w:t>
      </w:r>
    </w:p>
    <w:p>
      <w:pPr>
        <w:pStyle w:val="Heading1"/>
      </w:pPr>
      <w:r>
        <w:rPr>
          <w:b/>
          <w:bCs/>
        </w:rPr>
        <w:t xml:space="preserve">Recommended Configuration: Summit Base</w:t>
      </w:r>
    </w:p>
    <w:p>
      <w:pPr>
        <w:spacing w:after="200"/>
      </w:pPr>
      <w:r>
        <w:t xml:space="preserve">Based on the Shoalwater Bay Tribe's seven-department structure and estimated 15-25 concurrent users, we recommend the Summit Base configuration: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NVIDIA H100 80GB PCIe (enterprise provenance, RMA chains maintained)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AMD EPYC 7413 (Milan)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512GB DDR4 ECC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1TB boot + 4TB model NVMe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Chassis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Supermicro 4U GPU chassis, redundant 2000W PSU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Models Pre-Installed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V4-Flash (quantized), Llama 3.3 70B, buyer-selected third model (R1 70B Distill or Qwen 2.5 72B)</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OpenWebUI multi-user with role-based access control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 Engine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vLLM with tensor parallelism for multi-user concurrency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72-hour sustained burn-in before shipment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Warranty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1-year hardware warranty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on-site deployment + remote support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Air-Gap Capable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Zero internet dependency after initial setup.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$75,000 - $85,000 (one-time purchase)</w:t>
            </w:r>
          </w:p>
        </w:tc>
      </w:tr>
    </w:tbl>
    <w:p>
      <w:pPr>
        <w:spacing w:after="100"/>
      </w:pPr>
    </w:p>
    <w:p>
      <w:pPr>
        <w:spacing w:after="200"/>
      </w:pPr>
      <w:r>
        <w:rPr>
          <w:b/>
          <w:bCs/>
        </w:rPr>
        <w:t xml:space="preserve">Why Summit Base for Shoalwater Bay: </w:t>
      </w:r>
      <w:r>
        <w:t xml:space="preserve">Seven departments with 15-25 users is well within Summit Base's concurrency capacity. vLLM tensor parallelism distributes inference load across both H100 GPUs, so multiple staff members can run queries simultaneously without performance degradation. The 160GB combined VRAM handles large document analysis (grant narratives, environmental impact reports, fisheries management plans) without model swapping.</w:t>
      </w:r>
    </w:p>
    <w:p>
      <w:pPr>
        <w:spacing w:after="200"/>
      </w:pPr>
      <w:r>
        <w:rPr>
          <w:b/>
          <w:bCs/>
        </w:rPr>
        <w:t xml:space="preserve">GPU Provenance: </w:t>
      </w:r>
      <w:r>
        <w:t xml:space="preserve">Every H100 in a Summit Base system carries enterprise procurement documentation and RMA chains. This matters for tribal governments that may need to demonstrate hardware provenance in audit contexts or grant reporting. Consumer-grade GPUs (RTX 4090, etc.) lack this documentation trail.</w:t>
      </w:r>
    </w:p>
    <w:p>
      <w:r>
        <w:br w:type="page"/>
      </w:r>
    </w:p>
    <w:p>
      <w:pPr>
        <w:pStyle w:val="Heading1"/>
      </w:pPr>
      <w:r>
        <w:rPr>
          <w:b/>
          <w:bCs/>
        </w:rPr>
        <w:t xml:space="preserve">Workflows for Shoalwater Bay Departments</w:t>
      </w:r>
    </w:p>
    <w:p>
      <w:pPr>
        <w:pStyle w:val="Heading2"/>
      </w:pPr>
      <w:r>
        <w:rPr>
          <w:b/>
          <w:bCs/>
        </w:rPr>
        <w:t xml:space="preserve">Fiscal Department</w:t>
      </w:r>
    </w:p>
    <w:p>
      <w:pPr>
        <w:spacing w:after="200"/>
      </w:pPr>
      <w:r>
        <w:rPr>
          <w:b/>
          <w:bCs/>
        </w:rPr>
        <w:t xml:space="preserve">Grant Narrative Drafting: </w:t>
      </w:r>
      <w:r>
        <w:t xml:space="preserve">Generate first drafts of federal and state grant applications (FEMA HMA, BIA, EPA, NOAA). AI processes previous successful applications as context, maintains consistent voice across submissions, and produces compliant narrative structure. Staff review and refine rather than drafting from blank pages.</w:t>
      </w:r>
    </w:p>
    <w:p>
      <w:pPr>
        <w:spacing w:after="200"/>
      </w:pPr>
      <w:r>
        <w:rPr>
          <w:b/>
          <w:bCs/>
        </w:rPr>
        <w:t xml:space="preserve">Budget Analysis and Reporting: </w:t>
      </w:r>
      <w:r>
        <w:t xml:space="preserve">Analyze multi-year budget data, generate variance reports, summarize expenditure trends for council presentations. Process financial documents without exposing tribal fiscal data to cloud providers.</w:t>
      </w:r>
    </w:p>
    <w:p>
      <w:pPr>
        <w:spacing w:after="200"/>
      </w:pPr>
      <w:r>
        <w:rPr>
          <w:b/>
          <w:bCs/>
        </w:rPr>
        <w:t xml:space="preserve">Policy Document Generation: </w:t>
      </w:r>
      <w:r>
        <w:t xml:space="preserve">Draft fiscal policies, procurement procedures, and internal controls documentation from existing templates and tribal code references.</w:t>
      </w:r>
    </w:p>
    <w:p>
      <w:pPr>
        <w:pStyle w:val="Heading2"/>
      </w:pPr>
      <w:r>
        <w:rPr>
          <w:b/>
          <w:bCs/>
        </w:rPr>
        <w:t xml:space="preserve">Public Safety / Emergency Management</w:t>
      </w:r>
    </w:p>
    <w:p>
      <w:pPr>
        <w:spacing w:after="200"/>
      </w:pPr>
      <w:r>
        <w:rPr>
          <w:b/>
          <w:bCs/>
        </w:rPr>
        <w:t xml:space="preserve">Emergency Operations Planning: </w:t>
      </w:r>
      <w:r>
        <w:t xml:space="preserve">Draft and update Emergency Operations Plans, Hazard Mitigation Plans, tsunami evacuation procedures, and continuity of operations documents. The Shoalwater Bay Tribe faces significant coastal erosion and tsunami risk; these documents contain critical infrastructure locations and vulnerability assessments that should never transit third-party servers.</w:t>
      </w:r>
    </w:p>
    <w:p>
      <w:pPr>
        <w:spacing w:after="200"/>
      </w:pPr>
      <w:r>
        <w:rPr>
          <w:b/>
          <w:bCs/>
        </w:rPr>
        <w:t xml:space="preserve">Incident Documentation: </w:t>
      </w:r>
      <w:r>
        <w:t xml:space="preserve">Generate after-action reports, incident narratives, and situation reports during emergency activations. Process law enforcement sensitive information locally.</w:t>
      </w:r>
    </w:p>
    <w:p>
      <w:pPr>
        <w:spacing w:after="200"/>
      </w:pPr>
      <w:r>
        <w:rPr>
          <w:b/>
          <w:bCs/>
        </w:rPr>
        <w:t xml:space="preserve">Training Materials: </w:t>
      </w:r>
      <w:r>
        <w:t xml:space="preserve">Develop exercise injects, tabletop exercise scenarios, and training curricula for tribal emergency response personnel.</w:t>
      </w:r>
    </w:p>
    <w:p>
      <w:pPr>
        <w:pStyle w:val="Heading2"/>
      </w:pPr>
      <w:r>
        <w:rPr>
          <w:b/>
          <w:bCs/>
        </w:rPr>
        <w:t xml:space="preserve">Executive / Administration</w:t>
      </w:r>
    </w:p>
    <w:p>
      <w:pPr>
        <w:spacing w:after="200"/>
      </w:pPr>
      <w:r>
        <w:rPr>
          <w:b/>
          <w:bCs/>
        </w:rPr>
        <w:t xml:space="preserve">Tribal Council Communications: </w:t>
      </w:r>
      <w:r>
        <w:t xml:space="preserve">Draft resolutions, correspondence with federal and state agencies, inter-governmental agreements, and policy position papers. Sovereign government communications stay on sovereign infrastructure.</w:t>
      </w:r>
    </w:p>
    <w:p>
      <w:pPr>
        <w:spacing w:after="200"/>
      </w:pPr>
      <w:r>
        <w:rPr>
          <w:b/>
          <w:bCs/>
        </w:rPr>
        <w:t xml:space="preserve">Strategic Planning: </w:t>
      </w:r>
      <w:r>
        <w:t xml:space="preserve">Analyze planning documents, generate SWOT assessments, summarize consultation outcomes, and draft long-range development plans.</w:t>
      </w:r>
    </w:p>
    <w:p>
      <w:pPr>
        <w:pStyle w:val="Heading2"/>
      </w:pPr>
      <w:r>
        <w:rPr>
          <w:b/>
          <w:bCs/>
        </w:rPr>
        <w:t xml:space="preserve">Wildlife and Fisheries</w:t>
      </w:r>
    </w:p>
    <w:p>
      <w:pPr>
        <w:spacing w:after="200"/>
      </w:pPr>
      <w:r>
        <w:rPr>
          <w:b/>
          <w:bCs/>
        </w:rPr>
        <w:t xml:space="preserve">Resource Management Plans: </w:t>
      </w:r>
      <w:r>
        <w:t xml:space="preserve">Draft species management plans, habitat conservation strategies, and restoration project proposals. Analyze population survey data and generate trend reports without exposing sensitive species location data or treaty-rights documentation to third parties.</w:t>
      </w:r>
    </w:p>
    <w:p>
      <w:pPr>
        <w:spacing w:after="200"/>
      </w:pPr>
      <w:r>
        <w:rPr>
          <w:b/>
          <w:bCs/>
        </w:rPr>
        <w:t xml:space="preserve">Environmental Compliance: </w:t>
      </w:r>
      <w:r>
        <w:t xml:space="preserve">Generate NEPA and ESA compliance documentation, biological assessments, and environmental impact analyses. Process field data into structured reports.</w:t>
      </w:r>
    </w:p>
    <w:p>
      <w:pPr>
        <w:spacing w:after="200"/>
      </w:pPr>
      <w:r>
        <w:rPr>
          <w:b/>
          <w:bCs/>
        </w:rPr>
        <w:t xml:space="preserve">Treaty Rights Documentation: </w:t>
      </w:r>
      <w:r>
        <w:t xml:space="preserve">Analyze historical treaty language, prepare position papers for co-management negotiations with state agencies. This data has direct legal and economic implications and must remain under tribal control.</w:t>
      </w:r>
    </w:p>
    <w:p>
      <w:pPr>
        <w:pStyle w:val="Heading2"/>
      </w:pPr>
      <w:r>
        <w:rPr>
          <w:b/>
          <w:bCs/>
        </w:rPr>
        <w:t xml:space="preserve">IT and PUD</w:t>
      </w:r>
    </w:p>
    <w:p>
      <w:pPr>
        <w:spacing w:after="200"/>
      </w:pPr>
      <w:r>
        <w:rPr>
          <w:b/>
          <w:bCs/>
        </w:rPr>
        <w:t xml:space="preserve">Technical Documentation: </w:t>
      </w:r>
      <w:r>
        <w:t xml:space="preserve">Generate network documentation, security policies, standard operating procedures, and system administration guides. Maintain institutional knowledge in structured format.</w:t>
      </w:r>
    </w:p>
    <w:p>
      <w:pPr>
        <w:spacing w:after="200"/>
      </w:pPr>
      <w:r>
        <w:rPr>
          <w:b/>
          <w:bCs/>
        </w:rPr>
        <w:t xml:space="preserve">Utility Operations: </w:t>
      </w:r>
      <w:r>
        <w:t xml:space="preserve">Analyze rate structures, generate customer communications, draft regulatory compliance reports, and process service data for the tribal utility district.</w:t>
      </w:r>
    </w:p>
    <w:p>
      <w:r>
        <w:br w:type="page"/>
      </w:r>
    </w:p>
    <w:p>
      <w:pPr>
        <w:pStyle w:val="Heading1"/>
      </w:pPr>
      <w:r>
        <w:rPr>
          <w:b/>
          <w:bCs/>
        </w:rPr>
        <w:t xml:space="preserve">Deployment: Two-Person On-Site Team</w:t>
      </w:r>
    </w:p>
    <w:p>
      <w:pPr>
        <w:spacing w:after="200"/>
      </w:pPr>
      <w:r>
        <w:t xml:space="preserve">Island Mountain deploys with a two-person team to ensure both hardware integrity and staff readiness:</w:t>
      </w:r>
    </w:p>
    <w:p>
      <w:pPr>
        <w:spacing w:after="100"/>
      </w:pPr>
    </w:p>
    <w:p>
      <w:pPr>
        <w:spacing w:after="200"/>
      </w:pPr>
      <w:r>
        <w:rPr>
          <w:b/>
          <w:bCs/>
        </w:rPr>
        <w:t xml:space="preserve">Hardware Lead</w:t>
      </w:r>
      <w:r>
        <w:t xml:space="preserve"> handles physical installation: power circuit verification (208V/30A dedicated circuit), rack or shelf placement, network configuration, GPU detection and thermal verification, and a 4-hour post-installation burn-in test.</w:t>
      </w:r>
    </w:p>
    <w:p>
      <w:pPr>
        <w:spacing w:after="200"/>
      </w:pPr>
      <w:r>
        <w:rPr>
          <w:b/>
          <w:bCs/>
        </w:rPr>
        <w:t xml:space="preserve">Client Success Lead</w:t>
      </w:r>
      <w:r>
        <w:t xml:space="preserve"> handles the human side: user account creation for all seven departments, role-based access configuration, administrator training for your IT staff, and department-by-department end-user onboarding tailored to each team's workflows.</w:t>
      </w:r>
    </w:p>
    <w:p>
      <w:pPr>
        <w:spacing w:after="100"/>
      </w:pPr>
    </w:p>
    <w:p>
      <w:pPr>
        <w:pStyle w:val="Heading2"/>
      </w:pPr>
      <w:r>
        <w:rPr>
          <w:b/>
          <w:bCs/>
        </w:rPr>
        <w:t xml:space="preserve">Facility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208V/30A dedicated circuit, NEMA L6-30R outlet. If not available, electrician install: $500-$2,000.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4U rack or secured shelf capable of supporting 80-100 lbs. Locked room with HVAC preferred.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ethernet to internal network. Air-gap deployment available (zero internet after setup).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64-80°F ambient temperature. Minimum 4" airflow clearance front and rear.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Draw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1.5-2.5 kW average. Approximately $100-$200/month electricity.</w:t>
            </w:r>
          </w:p>
        </w:tc>
      </w:tr>
    </w:tbl>
    <w:p>
      <w:pPr>
        <w:spacing w:after="100"/>
      </w:pPr>
    </w:p>
    <w:p>
      <w:pPr>
        <w:pStyle w:val="Heading2"/>
      </w:pPr>
      <w:r>
        <w:rPr>
          <w:b/>
          <w:bCs/>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69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confirmation and payment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Assembly, configuration, 72-hour burn-in testing at Colorado facility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Shipping to Shoalwater Bay reservation (freight, insured)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Two-person on-site deployment (1-2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4-8</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remote support period active</w:t>
            </w:r>
          </w:p>
        </w:tc>
      </w:tr>
    </w:tbl>
    <w:p>
      <w:pPr>
        <w:spacing w:after="200"/>
      </w:pPr>
      <w:r>
        <w:rPr>
          <w:b/>
          <w:bCs/>
        </w:rPr>
        <w:t xml:space="preserve">Total: 4-6 weeks from order to operational.</w:t>
      </w:r>
    </w:p>
    <w:p>
      <w:r>
        <w:br w:type="page"/>
      </w:r>
    </w:p>
    <w:p>
      <w:pPr>
        <w:pStyle w:val="Heading1"/>
      </w:pPr>
      <w:r>
        <w:rPr>
          <w:b/>
          <w:bCs/>
        </w:rPr>
        <w:t xml:space="preserve">Five-Year Total Cost of Ownership</w:t>
      </w:r>
    </w:p>
    <w:p>
      <w:pPr>
        <w:spacing w:after="200"/>
      </w:pPr>
      <w:r>
        <w:t xml:space="preserve">Comparison assumes 20 active users across seven departments using enterprise AI services. Cloud estimates based on May 2026 pricing for comparable enterprise AI platforms with data residency controls.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Cloud AI (Enterprise)</w:t>
            </w:r>
          </w:p>
        </w:tc>
        <w:tc>
          <w:tcPr>
            <w:tcW w:type="dxa" w:w="32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Island Mountain Summit 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Type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Operating (recurring)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(one-time)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1 Cost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$48,000 - $96,000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$75,000 - $85,000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3 Cumulative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$144,000 - $288,000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$79,800 - $92,200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5 Cumulative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$240,000 - $480,000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$84,600 - $99,400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Jurisdiction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Third-party data center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Tribal land, tribal control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OCAP Compliance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 violation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compliance posture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Act Exposure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 to federal subpoena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Tribal sovereign immunity applies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Internet Dependency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 non-functional offline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after setup (air-gap capable)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Per-Token Fees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scales with usage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Unlimited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Vendor Lock-In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(proprietary models, APIs)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(open-source models, your hardware)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Grant Eligible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Rarely (OpEx)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(CapEx, infrastructure)</w:t>
            </w:r>
          </w:p>
        </w:tc>
      </w:tr>
    </w:tbl>
    <w:p>
      <w:pPr>
        <w:spacing w:after="100"/>
      </w:pPr>
    </w:p>
    <w:p>
      <w:pPr>
        <w:spacing w:after="200"/>
      </w:pPr>
      <w:r>
        <w:rPr>
          <w:i/>
          <w:iCs/>
        </w:rPr>
        <w:t xml:space="preserve">Assumptions: Cloud AI estimated at $200-$400/user/month for enterprise plans with enhanced security controls. Island Mountain ongoing costs: electricity ($100-$200/month) and optional maintenance. Break-even occurs at approximately 12-15 months.</w:t>
      </w:r>
    </w:p>
    <w:p>
      <w:pPr>
        <w:spacing w:after="200"/>
      </w:pPr>
      <w:r>
        <w:rPr>
          <w:b/>
          <w:bCs/>
        </w:rPr>
        <w:t xml:space="preserve">Grant Eligibility: </w:t>
      </w:r>
      <w:r>
        <w:t xml:space="preserve">As a capital infrastructure purchase, Summit Base hardware is eligible for federal infrastructure grants (BIA, USDA, EDA, NTIA) in ways that recurring SaaS subscriptions are not. The Shoalwater Bay Tribe's existing grant writing capacity can target this as an infrastructure investment.</w:t>
      </w:r>
    </w:p>
    <w:p>
      <w:r>
        <w:br w:type="page"/>
      </w:r>
    </w:p>
    <w:p>
      <w:pPr>
        <w:pStyle w:val="Heading1"/>
      </w:pPr>
      <w:r>
        <w:rPr>
          <w:b/>
          <w:bCs/>
        </w:rPr>
        <w:t xml:space="preserve">What You Do Not Get</w:t>
      </w:r>
    </w:p>
    <w:p>
      <w:pPr>
        <w:spacing w:after="200"/>
      </w:pPr>
      <w:r>
        <w:t xml:space="preserve">This section exists because trust is built by naming what we cannot do, not by implying we can do everything.</w:t>
      </w:r>
    </w:p>
    <w:p>
      <w:pPr>
        <w:spacing w:after="100"/>
      </w:pPr>
    </w:p>
    <w:p>
      <w:pPr>
        <w:spacing w:after="200"/>
      </w:pPr>
      <w:r>
        <w:rPr>
          <w:b/>
          <w:bCs/>
        </w:rPr>
        <w:t xml:space="preserve">Not a Tribal Management System. </w:t>
      </w:r>
      <w:r>
        <w:t xml:space="preserve">Island Mountain hardware is general-purpose AI inference infrastructure. It is not an enrollment system, a case management platform, a fisheries database, or a financial management suite. It processes text, generates documents, and analyzes data. It does not replace specialized tribal software.</w:t>
      </w:r>
    </w:p>
    <w:p>
      <w:pPr>
        <w:spacing w:after="200"/>
      </w:pPr>
      <w:r>
        <w:rPr>
          <w:b/>
          <w:bCs/>
        </w:rPr>
        <w:t xml:space="preserve">No Integration with Existing Tribal Systems. </w:t>
      </w:r>
      <w:r>
        <w:t xml:space="preserve">The server does not connect to your enrollment database, financial system, or GIS platform. Users copy relevant information into conversations manually. Future integration would require custom development beyond what Island Mountain provides.</w:t>
      </w:r>
    </w:p>
    <w:p>
      <w:pPr>
        <w:spacing w:after="200"/>
      </w:pPr>
      <w:r>
        <w:rPr>
          <w:b/>
          <w:bCs/>
        </w:rPr>
        <w:t xml:space="preserve">No Compliance Certification. </w:t>
      </w:r>
      <w:r>
        <w:t xml:space="preserve">Island Mountain provides the hardware posture for OCAP compliance: data stays on your premises, under your physical control, with no third-party access. We do not certify your organization's overall compliance posture. That determination remains with your tribal council, legal counsel, and governance bodies.</w:t>
      </w:r>
    </w:p>
    <w:p>
      <w:pPr>
        <w:spacing w:after="200"/>
      </w:pPr>
      <w:r>
        <w:rPr>
          <w:b/>
          <w:bCs/>
        </w:rPr>
        <w:t xml:space="preserve">You Own the Maintenance After 30 Days. </w:t>
      </w:r>
      <w:r>
        <w:t xml:space="preserve">The 30-day support period includes full remote assistance for configuration questions, user management, and troubleshooting. After that period, your IT staff manages the system. The hardware is designed for minimal maintenance (check temperatures monthly, manage user accounts, update models if desired). Paid support is available beyond the 30-day window if needed.</w:t>
      </w:r>
    </w:p>
    <w:p>
      <w:pPr>
        <w:pStyle w:val="Heading1"/>
      </w:pPr>
      <w:r>
        <w:rPr>
          <w:b/>
          <w:bCs/>
        </w:rPr>
        <w:t xml:space="preserve">Compliance Alignment: OCAP and CARE</w:t>
      </w:r>
    </w:p>
    <w:p>
      <w:pPr>
        <w:spacing w:after="200"/>
      </w:pPr>
      <w:r>
        <w:rPr>
          <w:b/>
          <w:bCs/>
        </w:rPr>
        <w:t xml:space="preserve">Ownership: </w:t>
      </w:r>
      <w:r>
        <w:t xml:space="preserve">The Shoalwater Bay Tribe owns the hardware outright. No lease, no subscription, no vendor with a kill switch. The physical server and all data on it belong to the nation.</w:t>
      </w:r>
    </w:p>
    <w:p>
      <w:pPr>
        <w:spacing w:after="200"/>
      </w:pPr>
      <w:r>
        <w:rPr>
          <w:b/>
          <w:bCs/>
        </w:rPr>
        <w:t xml:space="preserve">Control: </w:t>
      </w:r>
      <w:r>
        <w:t xml:space="preserve">Role-based access in OpenWebUI means tribal administration determines who can use which AI models, for what purposes. No external entity sets access policies. Air-gap capability means the tribe can sever all external network connections and the system continues to function.</w:t>
      </w:r>
    </w:p>
    <w:p>
      <w:pPr>
        <w:spacing w:after="200"/>
      </w:pPr>
      <w:r>
        <w:rPr>
          <w:b/>
          <w:bCs/>
        </w:rPr>
        <w:t xml:space="preserve">Access: </w:t>
      </w:r>
      <w:r>
        <w:t xml:space="preserve">Only users with credentials created by your administrator can access the system. No cloud provider employee, no federal agent without a warrant served on tribal land, no third-party auditor has access. Physical possession means physical control over access.</w:t>
      </w:r>
    </w:p>
    <w:p>
      <w:pPr>
        <w:spacing w:after="200"/>
      </w:pPr>
      <w:r>
        <w:rPr>
          <w:b/>
          <w:bCs/>
        </w:rPr>
        <w:t xml:space="preserve">Possession: </w:t>
      </w:r>
      <w:r>
        <w:t xml:space="preserve">The server sits in your facility, on tribal land, under tribal jurisdiction. Data processed by the AI never leaves the machine. Conversations, documents, and analyses exist on local storage. When a user deletes a conversation, it is deleted. No cloud backup retains a copy on infrastructure you do not control.</w:t>
      </w:r>
    </w:p>
    <w:p>
      <w:pPr>
        <w:spacing w:after="100"/>
      </w:pPr>
    </w:p>
    <w:p>
      <w:pPr>
        <w:spacing w:after="200"/>
      </w:pPr>
      <w:r>
        <w:rPr>
          <w:b/>
          <w:bCs/>
        </w:rPr>
        <w:t xml:space="preserve">CARE Principles Alignment: </w:t>
      </w:r>
      <w:r>
        <w:t xml:space="preserve">Collective Benefit is served by making AI infrastructure available to all seven departments for their sovereign governance work. Authority to Control is exercised through local administration and air-gap capability. Responsibility is maintained by keeping sensitive data under the jurisdiction that generated it. Ethics are upheld by refusing the structural compromise that cloud AI requires.</w:t>
      </w:r>
    </w:p>
    <w:p>
      <w:r>
        <w:br w:type="page"/>
      </w:r>
    </w:p>
    <w:p>
      <w:pPr>
        <w:pStyle w:val="Heading1"/>
      </w:pPr>
      <w:r>
        <w:rPr>
          <w:b/>
          <w:bCs/>
        </w:rPr>
        <w:t xml:space="preserve">Next Steps</w:t>
      </w:r>
    </w:p>
    <w:p>
      <w:pPr>
        <w:spacing w:after="200"/>
      </w:pPr>
      <w:r>
        <w:t xml:space="preserve">To proceed, or to ask questions this document did not answer:</w:t>
      </w:r>
    </w:p>
    <w:p>
      <w:pPr>
        <w:spacing w:after="100"/>
      </w:pPr>
    </w:p>
    <w:p>
      <w:pPr>
        <w:spacing w:after="200"/>
      </w:pPr>
      <w:r>
        <w:rPr>
          <w:b/>
          <w:bCs/>
        </w:rPr>
        <w:t xml:space="preserve">Phone: </w:t>
      </w:r>
      <w:r>
        <w:t xml:space="preserve">1-801-609-1130</w:t>
      </w:r>
    </w:p>
    <w:p>
      <w:pPr>
        <w:spacing w:after="200"/>
      </w:pPr>
      <w:r>
        <w:rPr>
          <w:b/>
          <w:bCs/>
        </w:rPr>
        <w:t xml:space="preserve">Email: </w:t>
      </w:r>
      <w:r>
        <w:t xml:space="preserve">info@islandmountain.io</w:t>
      </w:r>
    </w:p>
    <w:p>
      <w:pPr>
        <w:spacing w:after="200"/>
      </w:pPr>
      <w:r>
        <w:rPr>
          <w:b/>
          <w:bCs/>
        </w:rPr>
        <w:t xml:space="preserve">Website: </w:t>
      </w:r>
      <w:r>
        <w:t xml:space="preserve">islandmountain.io/tribal-nations.html (tribal-specific information)</w:t>
      </w:r>
    </w:p>
    <w:p>
      <w:pPr>
        <w:spacing w:after="100"/>
      </w:pPr>
    </w:p>
    <w:p>
      <w:pPr>
        <w:spacing w:after="200"/>
      </w:pPr>
      <w:r>
        <w:t xml:space="preserve">One conversation. No sales pitch. We will tell you whether this hardware fits your organization's workload, user count, and facility, or whether it does not. If it does not fit, we will say so.</w:t>
      </w:r>
    </w:p>
    <w:p>
      <w:pPr>
        <w:spacing w:after="100"/>
      </w:pPr>
    </w:p>
    <w:p>
      <w:pPr>
        <w:spacing w:after="200"/>
      </w:pPr>
      <w:r>
        <w:t xml:space="preserve">The Shoalwater Bay Tribe has operated as a sovereign nation since time immemorial. Your data governance should reflect that sovereignty. Infrastructure is how you enforce it.</w:t>
      </w:r>
    </w:p>
    <w:p>
      <w:pPr>
        <w:spacing w:after="100"/>
      </w:pPr>
    </w:p>
    <w:p>
      <w:pPr>
        <w:spacing w:after="100"/>
      </w:pPr>
    </w:p>
    <w:p>
      <w:pPr>
        <w:pBdr>
          <w:bottom w:val="single" w:color="1B3A4B" w:sz="6" w:space="1"/>
        </w:pBdr>
      </w:pPr>
    </w:p>
    <w:p>
      <w:pPr>
        <w:spacing w:after="100"/>
      </w:pPr>
    </w:p>
    <w:p>
      <w:pPr>
        <w:spacing w:after="200"/>
      </w:pPr>
      <w:r>
        <w:rPr>
          <w:i/>
          <w:iCs/>
        </w:rPr>
        <w:t xml:space="preserve">Island Mountain LLC is a hardware company, not a compliance authority. This proposal describes infrastructure capabilities. Consult your tribal legal counsel and governance bodies for compliance determinations specific to the Shoalwater Bay Indian Tribe.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Island Mountain | Shoalwater Bay Tribe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4B"/>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2026-05-11T02:40:35.286Z</dcterms:created>
  <dcterms:modified xsi:type="dcterms:W3CDTF">2026-05-11T02:40:35.287Z</dcterms:modified>
</cp:coreProperties>
</file>

<file path=docProps/custom.xml><?xml version="1.0" encoding="utf-8"?>
<Properties xmlns="http://schemas.openxmlformats.org/officeDocument/2006/custom-properties" xmlns:vt="http://schemas.openxmlformats.org/officeDocument/2006/docPropsVTypes"/>
</file>