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9144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819150"/>
                    </a:xfrm>
                    <a:prstGeom prst="rect">
                      <a:avLst/>
                    </a:prstGeom>
                  </pic:spPr>
                </pic:pic>
              </a:graphicData>
            </a:graphic>
          </wp:inline>
        </w:drawing>
      </w:r>
    </w:p>
    <w:p>
      <w:pPr>
        <w:spacing w:after="80"/>
        <w:jc w:val="center"/>
      </w:pPr>
      <w:r>
        <w:rPr>
          <w:rFonts w:ascii="Times New Roman" w:cs="Times New Roman" w:eastAsia="Times New Roman" w:hAnsi="Times New Roman"/>
          <w:b/>
          <w:bCs/>
          <w:sz w:val="40"/>
          <w:szCs w:val="40"/>
        </w:rPr>
        <w:t xml:space="preserve">VISION</w:t>
      </w:r>
    </w:p>
    <w:p>
      <w:pPr>
        <w:spacing w:after="240"/>
        <w:jc w:val="center"/>
      </w:pPr>
      <w:r>
        <w:rPr>
          <w:rFonts w:ascii="Times New Roman" w:cs="Times New Roman" w:eastAsia="Times New Roman" w:hAnsi="Times New Roman"/>
          <w:sz w:val="20"/>
          <w:szCs w:val="20"/>
        </w:rPr>
        <w:t xml:space="preserve">Island Mountain AI Inc. · Basho Parks · July 2026</w:t>
      </w:r>
    </w:p>
    <w:p>
      <w:pPr>
        <w:spacing w:after="160"/>
      </w:pPr>
      <w:r>
        <w:rPr>
          <w:rFonts w:ascii="Times New Roman" w:cs="Times New Roman" w:eastAsia="Times New Roman" w:hAnsi="Times New Roman"/>
          <w:sz w:val="22"/>
          <w:szCs w:val="22"/>
        </w:rPr>
        <w:t xml:space="preserve">Artificial intelligence is the first general-purpose technology to arrive inside institutions faster than they can govern it. Its capability compounds on a cycle measured in months; institutional absorption moves at the speed of budgets, hiring, and trust. By default, the gains concentrate in the organizations that can buy implementation at integrator prices, and that default excludes most of the institutions that carry civic weight: counties, tribal nations, courts, utilities, clinics, school districts, and the small manufacturers inside the defense supply chain.</w:t>
      </w:r>
    </w:p>
    <w:p>
      <w:pPr>
        <w:spacing w:after="160"/>
      </w:pPr>
      <w:r>
        <w:rPr>
          <w:rFonts w:ascii="Times New Roman" w:cs="Times New Roman" w:eastAsia="Times New Roman" w:hAnsi="Times New Roman"/>
          <w:sz w:val="22"/>
          <w:szCs w:val="22"/>
        </w:rPr>
        <w:t xml:space="preserve">What's at stake isn't efficiency. Public agencies hold mandates that don't shrink to match their staffing. Tribal nations defend data sovereignty inside legal frameworks written without them at the table. A retirement wave is carrying decades of unrecorded institutional knowledge out of the public sector on a schedule the workforce planners have already published. If absorbing this technology remains a privilege of scale, every institution below that scale grows weaker relative to its obligations, and the communities that depend on those institutions absorb the loss.</w:t>
      </w:r>
    </w:p>
    <w:p>
      <w:pPr>
        <w:spacing w:after="160"/>
      </w:pPr>
      <w:r>
        <w:rPr>
          <w:rFonts w:ascii="Times New Roman" w:cs="Times New Roman" w:eastAsia="Times New Roman" w:hAnsi="Times New Roman"/>
          <w:sz w:val="22"/>
          <w:szCs w:val="22"/>
        </w:rPr>
        <w:t xml:space="preserve">Island Mountain holds that this distribution is an engineering problem, not a natural order. The constraint was never intelligence; intelligence is now cheap and openly licensed. The constraint is implementation, and implementation can be built.</w:t>
      </w:r>
    </w:p>
    <w:p>
      <w:pPr>
        <w:spacing w:after="160"/>
      </w:pPr>
      <w:r>
        <w:rPr>
          <w:rFonts w:ascii="Times New Roman" w:cs="Times New Roman" w:eastAsia="Times New Roman" w:hAnsi="Times New Roman"/>
          <w:sz w:val="22"/>
          <w:szCs w:val="22"/>
        </w:rPr>
        <w:t xml:space="preserve">The condition we work toward is stated here so it can be checked. A regulated institution of ordinary size owns frontier-class AI capability outright: its data on its own ground, under its own jurisdiction; its compliance obligations, HIPAA, ITAR, CJIS, privilege, OCAP, satisfied by architecture rather than by a vendor's promise; its systems operated, modified, and extended by its own staff; its accumulated knowledge captured in working form and surviving every succession. None of that is exceptional. It's the ordinary condition of institutional life, the way owning the building is ordinary.</w:t>
      </w:r>
    </w:p>
    <w:p>
      <w:pPr>
        <w:spacing w:after="160"/>
      </w:pPr>
      <w:r>
        <w:rPr>
          <w:rFonts w:ascii="Times New Roman" w:cs="Times New Roman" w:eastAsia="Times New Roman" w:hAnsi="Times New Roman"/>
          <w:sz w:val="22"/>
          <w:szCs w:val="22"/>
        </w:rPr>
        <w:t xml:space="preserve">This vision is measured in decades, against what's still standing, because the institutions we serve plan on that horizon and their communities depend on the plans holding. We are our children's children's ancestors. The work is to make owned intelligence the ordinary condition of American institutions, and that's the whole of it.</w:t>
      </w:r>
    </w:p>
    <w:p>
      <w:r>
        <w:br w:type="page"/>
      </w:r>
    </w:p>
    <w:p>
      <w:pPr>
        <w:spacing w:after="160"/>
        <w:jc w:val="center"/>
      </w:pPr>
      <w:r>
        <w:drawing>
          <wp:inline distT="0" distB="0" distL="0" distR="0">
            <wp:extent cx="9144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819150"/>
                    </a:xfrm>
                    <a:prstGeom prst="rect">
                      <a:avLst/>
                    </a:prstGeom>
                  </pic:spPr>
                </pic:pic>
              </a:graphicData>
            </a:graphic>
          </wp:inline>
        </w:drawing>
      </w:r>
    </w:p>
    <w:p>
      <w:pPr>
        <w:spacing w:after="80"/>
        <w:jc w:val="center"/>
      </w:pPr>
      <w:r>
        <w:rPr>
          <w:rFonts w:ascii="Times New Roman" w:cs="Times New Roman" w:eastAsia="Times New Roman" w:hAnsi="Times New Roman"/>
          <w:b/>
          <w:bCs/>
          <w:sz w:val="40"/>
          <w:szCs w:val="40"/>
        </w:rPr>
        <w:t xml:space="preserve">MISSION</w:t>
      </w:r>
    </w:p>
    <w:p>
      <w:pPr>
        <w:spacing w:after="240"/>
        <w:jc w:val="center"/>
      </w:pPr>
      <w:r>
        <w:rPr>
          <w:rFonts w:ascii="Times New Roman" w:cs="Times New Roman" w:eastAsia="Times New Roman" w:hAnsi="Times New Roman"/>
          <w:sz w:val="20"/>
          <w:szCs w:val="20"/>
        </w:rPr>
        <w:t xml:space="preserve">Island Mountain AI Inc. · Basho Parks · July 2026</w:t>
      </w:r>
    </w:p>
    <w:p>
      <w:pPr>
        <w:spacing w:after="160"/>
      </w:pPr>
      <w:r>
        <w:rPr>
          <w:rFonts w:ascii="Times New Roman" w:cs="Times New Roman" w:eastAsia="Times New Roman" w:hAnsi="Times New Roman"/>
          <w:sz w:val="22"/>
          <w:szCs w:val="22"/>
        </w:rPr>
        <w:t xml:space="preserve">Island Mountain delivers forward deployed AI engineering to regulated and sovereign institutions. We embed engineers on-site, learn the work as its people practice it, and design, deploy, and govern on-premises AI systems the institution owns outright.</w:t>
      </w:r>
    </w:p>
    <w:p>
      <w:pPr>
        <w:spacing w:after="160"/>
      </w:pPr>
      <w:r>
        <w:rPr>
          <w:rFonts w:ascii="Times New Roman" w:cs="Times New Roman" w:eastAsia="Times New Roman" w:hAnsi="Times New Roman"/>
          <w:sz w:val="22"/>
          <w:szCs w:val="22"/>
        </w:rPr>
        <w:t xml:space="preserve">The method carries obligations, and they bind every engagement. Discovery precedes recommendation: we carry no catalog by design, and nothing is recommended, priced, or purchased until the work is mapped, because nobody can tell an institution what to buy before knowing what it'd be used for. Deployments are built security-first: air-gapped where the data demands it, with identity, authorization, and audit woven through from the first boot, and the governance fabric delivered working rather than left as the customer's homework. Education is part of the deployment, not a service sold after it; the engagement transfers operation, maintenance, and governance to the institution's own staff. And the engagement ends by design. The criteria are explicit: the institution runs the system, changes the system, and trains its own people without us. A deployment that needs us forever isn't a success; it's a leash, and we don't sell leashes.</w:t>
      </w:r>
    </w:p>
    <w:p>
      <w:pPr>
        <w:spacing w:after="160"/>
      </w:pPr>
      <w:r>
        <w:rPr>
          <w:rFonts w:ascii="Times New Roman" w:cs="Times New Roman" w:eastAsia="Times New Roman" w:hAnsi="Times New Roman"/>
          <w:sz w:val="22"/>
          <w:szCs w:val="22"/>
        </w:rPr>
        <w:t xml:space="preserve">The mission binds us as much as it directs us. Every consequential decision remains with a human professional; the systems we build assemble evidence and draft the paperwork, and the verdict is architecture, not policy. We don't build verdict automation. We don't build surveillance of the people whose knowledge we're trusted to preserve. We don't monetize customer data; it was never ours to price. Each refusal is permanent, and each costs revenue we've decided the mission is worth more than.</w:t>
      </w:r>
    </w:p>
    <w:p>
      <w:pPr>
        <w:spacing w:after="160"/>
      </w:pPr>
      <w:r>
        <w:rPr>
          <w:rFonts w:ascii="Times New Roman" w:cs="Times New Roman" w:eastAsia="Times New Roman" w:hAnsi="Times New Roman"/>
          <w:sz w:val="22"/>
          <w:szCs w:val="22"/>
        </w:rPr>
        <w:t xml:space="preserve">Success is measured against the institution's work, never against the hardware: decisions made with better information, workflows that shed their backlogs, knowledge that survives retirement, staff more capable at the end than at the start. One question governs the rest: can the organization continue without us? The mission holds when the answer is yes.</w:t>
      </w:r>
    </w:p>
    <w:p>
      <w:pPr>
        <w:spacing w:after="160"/>
      </w:pPr>
      <w:r>
        <w:rPr>
          <w:rFonts w:ascii="Times New Roman" w:cs="Times New Roman" w:eastAsia="Times New Roman" w:hAnsi="Times New Roman"/>
          <w:sz w:val="22"/>
          <w:szCs w:val="22"/>
        </w:rPr>
        <w:t xml:space="preserve">Every deployment leaves behind more knowledge than it consumes. Every engineer leaves behind more trust than they arrived with. Every partnership strengthens the institution it serves.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cc0e2c346cf33a345f074ac30e9003758030f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2026-07-28T09:29:08.443Z</dcterms:created>
  <dcterms:modified xsi:type="dcterms:W3CDTF">2026-07-28T09:29:08.444Z</dcterms:modified>
</cp:coreProperties>
</file>

<file path=docProps/custom.xml><?xml version="1.0" encoding="utf-8"?>
<Properties xmlns="http://schemas.openxmlformats.org/officeDocument/2006/custom-properties" xmlns:vt="http://schemas.openxmlformats.org/officeDocument/2006/docPropsVTypes"/>
</file>