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[I-26771]  Turn on and off hotspot via 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Use-Case Title: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on and off hotspot via VA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can turn on or off the vehicle hotspot according to their needs via the VA.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SWP Android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controls the hotspot switch via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in_24 Voice. Microphone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IVI system startup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asks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in_24 Voice. Microphone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turn on the hotspot.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activates the Hotspot.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will inform the user about the activation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out_24 Voice. Dynamic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shows notification with button "Show Hotspot Settings". By сlicking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"Show Hotspot Settings" the access point settings section for the user will open (The notification will automatically disappear in 5 seconds without clicking the button).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user turns on the hotspot switch, the hotspot will be on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connect the network from the vehicle via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in_5. smartphone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WIFI connection function by inputting the hotspot password.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Scenario A (Turn off the hotspot):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asks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in_24 Voice. Microphone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turn off the hotspot.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deactivates the Hotspot.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will inform the user about the deactivation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out_24 Voice. Dynamic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devices will disconnect to the hotspot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out_5 Smartphone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hotspot switch, name, password are the same level menu.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hotspot is turned off by default on every power-on.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devices connect after the Hotspot turn on within 10 mins, it will automatically turn off. </w:t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NumberingSymbols">
    <w:name w:val="Numbering Symbols"/>
    <w:qFormat w:val="1"/>
    <w:rPr/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Jn6DRGguo9NfomDuE5UpZWG3w==">CgMxLjA4AHIhMVRyTUFWUnpoM2h5UTNWRDBkNXdweldSZkd0cVJacVht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