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EA159" w14:textId="77777777" w:rsidR="00F733B0" w:rsidRDefault="00000000">
      <w:pPr>
        <w:pStyle w:val="Heading2"/>
        <w:tabs>
          <w:tab w:val="left" w:pos="1824"/>
        </w:tabs>
        <w:jc w:val="center"/>
        <w:rPr>
          <w:lang w:val="en-US"/>
        </w:rPr>
      </w:pPr>
      <w:r>
        <w:rPr>
          <w:rFonts w:hint="eastAsia"/>
          <w:lang w:val="en-US"/>
        </w:rPr>
        <w:t>合肥综合性国家科学中心能源研究院</w:t>
      </w:r>
    </w:p>
    <w:p w14:paraId="10D0957F" w14:textId="77777777" w:rsidR="00F733B0" w:rsidRDefault="00000000">
      <w:pPr>
        <w:pStyle w:val="Heading2"/>
        <w:tabs>
          <w:tab w:val="left" w:pos="1824"/>
        </w:tabs>
        <w:jc w:val="center"/>
        <w:rPr>
          <w:rFonts w:ascii="仿宋" w:eastAsia="仿宋" w:hAnsi="仿宋" w:cs="仿宋"/>
          <w:lang w:val="en-US"/>
        </w:rPr>
      </w:pPr>
      <w:r>
        <w:rPr>
          <w:rFonts w:ascii="仿宋" w:eastAsia="仿宋" w:hAnsi="仿宋" w:cs="仿宋" w:hint="eastAsia"/>
          <w:lang w:val="en-US"/>
        </w:rPr>
        <w:t>科研项目聘用人员工作报告</w:t>
      </w:r>
    </w:p>
    <w:tbl>
      <w:tblPr>
        <w:tblpPr w:leftFromText="180" w:rightFromText="180" w:vertAnchor="text" w:horzAnchor="page" w:tblpX="1801" w:tblpY="176"/>
        <w:tblOverlap w:val="neve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404"/>
        <w:gridCol w:w="1470"/>
        <w:gridCol w:w="891"/>
        <w:gridCol w:w="1568"/>
        <w:gridCol w:w="709"/>
        <w:gridCol w:w="2184"/>
      </w:tblGrid>
      <w:tr w:rsidR="00F733B0" w14:paraId="1B2B420F" w14:textId="77777777">
        <w:trPr>
          <w:trHeight w:val="663"/>
        </w:trPr>
        <w:tc>
          <w:tcPr>
            <w:tcW w:w="1404" w:type="dxa"/>
            <w:tcBorders>
              <w:bottom w:val="single" w:sz="6" w:space="0" w:color="000000"/>
              <w:right w:val="single" w:sz="6" w:space="0" w:color="000000"/>
            </w:tcBorders>
            <w:vAlign w:val="center"/>
          </w:tcPr>
          <w:p w14:paraId="2D03EB86" w14:textId="77777777" w:rsidR="00F733B0" w:rsidRDefault="00000000">
            <w:pPr>
              <w:pStyle w:val="TableParagraph"/>
              <w:spacing w:before="3" w:line="310" w:lineRule="atLeast"/>
              <w:ind w:left="465" w:right="230" w:hanging="212"/>
              <w:jc w:val="center"/>
              <w:rPr>
                <w:b/>
              </w:rPr>
            </w:pPr>
            <w:r>
              <w:rPr>
                <w:b/>
              </w:rPr>
              <w:t>姓名</w:t>
            </w:r>
          </w:p>
        </w:tc>
        <w:tc>
          <w:tcPr>
            <w:tcW w:w="1470" w:type="dxa"/>
            <w:tcBorders>
              <w:left w:val="single" w:sz="6" w:space="0" w:color="000000"/>
              <w:bottom w:val="single" w:sz="6" w:space="0" w:color="000000"/>
              <w:right w:val="single" w:sz="6" w:space="0" w:color="000000"/>
            </w:tcBorders>
            <w:vAlign w:val="center"/>
          </w:tcPr>
          <w:p w14:paraId="0A6F4AFA" w14:textId="77777777" w:rsidR="00F733B0" w:rsidRDefault="00000000">
            <w:pPr>
              <w:pStyle w:val="TableParagraph"/>
              <w:jc w:val="center"/>
              <w:rPr>
                <w:rFonts w:ascii="Times New Roman"/>
                <w:sz w:val="22"/>
                <w:lang w:val="en-US"/>
              </w:rPr>
            </w:pPr>
            <w:r>
              <w:rPr>
                <w:rFonts w:ascii="Times New Roman" w:hint="eastAsia"/>
                <w:sz w:val="22"/>
                <w:lang w:val="en-US"/>
              </w:rPr>
              <w:t>张逍</w:t>
            </w:r>
          </w:p>
        </w:tc>
        <w:tc>
          <w:tcPr>
            <w:tcW w:w="891" w:type="dxa"/>
            <w:tcBorders>
              <w:left w:val="single" w:sz="6" w:space="0" w:color="000000"/>
              <w:bottom w:val="single" w:sz="6" w:space="0" w:color="000000"/>
              <w:right w:val="single" w:sz="6" w:space="0" w:color="000000"/>
            </w:tcBorders>
            <w:vAlign w:val="center"/>
          </w:tcPr>
          <w:p w14:paraId="6A9BFD62" w14:textId="77777777" w:rsidR="00F733B0" w:rsidRDefault="00000000">
            <w:pPr>
              <w:pStyle w:val="TableParagraph"/>
              <w:spacing w:before="3" w:line="310" w:lineRule="atLeast"/>
              <w:ind w:left="176" w:right="117" w:hanging="29"/>
              <w:jc w:val="center"/>
              <w:rPr>
                <w:b/>
                <w:lang w:val="en-US"/>
              </w:rPr>
            </w:pPr>
            <w:r>
              <w:rPr>
                <w:rFonts w:hint="eastAsia"/>
                <w:b/>
                <w:lang w:val="en-US"/>
              </w:rPr>
              <w:t>职称/学历</w:t>
            </w:r>
          </w:p>
        </w:tc>
        <w:tc>
          <w:tcPr>
            <w:tcW w:w="1568" w:type="dxa"/>
            <w:tcBorders>
              <w:left w:val="single" w:sz="6" w:space="0" w:color="000000"/>
              <w:bottom w:val="single" w:sz="6" w:space="0" w:color="000000"/>
              <w:right w:val="single" w:sz="6" w:space="0" w:color="000000"/>
            </w:tcBorders>
            <w:vAlign w:val="center"/>
          </w:tcPr>
          <w:p w14:paraId="7D548B03" w14:textId="77777777" w:rsidR="00F733B0" w:rsidRDefault="00000000">
            <w:pPr>
              <w:pStyle w:val="TableParagraph"/>
              <w:jc w:val="center"/>
              <w:rPr>
                <w:rFonts w:ascii="Times New Roman"/>
                <w:sz w:val="22"/>
                <w:lang w:val="en-US"/>
              </w:rPr>
            </w:pPr>
            <w:r>
              <w:rPr>
                <w:rFonts w:ascii="Times New Roman" w:hint="eastAsia"/>
                <w:sz w:val="22"/>
                <w:lang w:val="en-US"/>
              </w:rPr>
              <w:t>副研究员</w:t>
            </w:r>
          </w:p>
        </w:tc>
        <w:tc>
          <w:tcPr>
            <w:tcW w:w="709" w:type="dxa"/>
            <w:tcBorders>
              <w:left w:val="single" w:sz="6" w:space="0" w:color="000000"/>
              <w:bottom w:val="single" w:sz="6" w:space="0" w:color="000000"/>
              <w:right w:val="single" w:sz="6" w:space="0" w:color="000000"/>
            </w:tcBorders>
            <w:vAlign w:val="center"/>
          </w:tcPr>
          <w:p w14:paraId="2F66004E" w14:textId="77777777" w:rsidR="00F733B0" w:rsidRDefault="00000000">
            <w:pPr>
              <w:pStyle w:val="TableParagraph"/>
              <w:spacing w:before="3" w:line="310" w:lineRule="atLeast"/>
              <w:ind w:left="144" w:right="123"/>
              <w:jc w:val="center"/>
              <w:rPr>
                <w:b/>
                <w:lang w:val="en-US"/>
              </w:rPr>
            </w:pPr>
            <w:r>
              <w:rPr>
                <w:rFonts w:hint="eastAsia"/>
                <w:b/>
                <w:lang w:val="en-US"/>
              </w:rPr>
              <w:t>报告起止时间</w:t>
            </w:r>
          </w:p>
        </w:tc>
        <w:tc>
          <w:tcPr>
            <w:tcW w:w="2184" w:type="dxa"/>
            <w:tcBorders>
              <w:left w:val="single" w:sz="6" w:space="0" w:color="000000"/>
              <w:bottom w:val="single" w:sz="6" w:space="0" w:color="000000"/>
            </w:tcBorders>
            <w:vAlign w:val="center"/>
          </w:tcPr>
          <w:p w14:paraId="772680E1" w14:textId="77777777" w:rsidR="00F733B0" w:rsidRDefault="00000000">
            <w:pPr>
              <w:pStyle w:val="TableParagraph"/>
              <w:spacing w:before="7"/>
              <w:jc w:val="center"/>
              <w:rPr>
                <w:lang w:val="en-US"/>
              </w:rPr>
            </w:pPr>
            <w:r>
              <w:rPr>
                <w:rFonts w:hint="eastAsia"/>
                <w:lang w:val="en-US"/>
              </w:rPr>
              <w:t>2025年7月1日-9月30日</w:t>
            </w:r>
          </w:p>
        </w:tc>
      </w:tr>
      <w:tr w:rsidR="00F733B0" w14:paraId="2327BA77" w14:textId="77777777">
        <w:trPr>
          <w:trHeight w:val="873"/>
        </w:trPr>
        <w:tc>
          <w:tcPr>
            <w:tcW w:w="1404" w:type="dxa"/>
            <w:tcBorders>
              <w:top w:val="single" w:sz="6" w:space="0" w:color="000000"/>
              <w:bottom w:val="single" w:sz="6" w:space="0" w:color="000000"/>
              <w:right w:val="single" w:sz="6" w:space="0" w:color="000000"/>
            </w:tcBorders>
            <w:vAlign w:val="center"/>
          </w:tcPr>
          <w:p w14:paraId="6591F8E9" w14:textId="77777777" w:rsidR="00F733B0" w:rsidRDefault="00000000">
            <w:pPr>
              <w:pStyle w:val="TableParagraph"/>
              <w:spacing w:before="147" w:line="278" w:lineRule="auto"/>
              <w:ind w:left="464" w:right="442"/>
              <w:jc w:val="center"/>
              <w:rPr>
                <w:b/>
              </w:rPr>
            </w:pPr>
            <w:r>
              <w:rPr>
                <w:rFonts w:hint="eastAsia"/>
                <w:b/>
                <w:lang w:val="en-US"/>
              </w:rPr>
              <w:t>所属</w:t>
            </w:r>
            <w:r>
              <w:rPr>
                <w:rFonts w:hint="eastAsia"/>
                <w:b/>
              </w:rPr>
              <w:t>项目</w:t>
            </w:r>
          </w:p>
        </w:tc>
        <w:tc>
          <w:tcPr>
            <w:tcW w:w="6822" w:type="dxa"/>
            <w:gridSpan w:val="5"/>
            <w:tcBorders>
              <w:top w:val="single" w:sz="6" w:space="0" w:color="000000"/>
              <w:left w:val="single" w:sz="6" w:space="0" w:color="000000"/>
              <w:bottom w:val="single" w:sz="6" w:space="0" w:color="000000"/>
            </w:tcBorders>
            <w:vAlign w:val="center"/>
          </w:tcPr>
          <w:p w14:paraId="2C06FD14" w14:textId="77777777" w:rsidR="00F733B0" w:rsidRDefault="00000000">
            <w:pPr>
              <w:pStyle w:val="TableParagraph"/>
              <w:ind w:firstLineChars="600" w:firstLine="1265"/>
              <w:jc w:val="center"/>
              <w:rPr>
                <w:b/>
                <w:lang w:val="en-US"/>
              </w:rPr>
            </w:pPr>
            <w:r>
              <w:rPr>
                <w:rFonts w:hint="eastAsia"/>
                <w:b/>
                <w:lang w:val="en-US"/>
              </w:rPr>
              <w:t>紧凑等离子体环主机设计及装备集成24KZZ204</w:t>
            </w:r>
          </w:p>
        </w:tc>
      </w:tr>
      <w:tr w:rsidR="00F733B0" w14:paraId="133CCF0F" w14:textId="77777777">
        <w:trPr>
          <w:trHeight w:val="4522"/>
        </w:trPr>
        <w:tc>
          <w:tcPr>
            <w:tcW w:w="1404" w:type="dxa"/>
            <w:tcBorders>
              <w:top w:val="single" w:sz="6" w:space="0" w:color="000000"/>
              <w:bottom w:val="single" w:sz="6" w:space="0" w:color="000000"/>
              <w:right w:val="single" w:sz="6" w:space="0" w:color="000000"/>
            </w:tcBorders>
            <w:vAlign w:val="center"/>
          </w:tcPr>
          <w:p w14:paraId="462924AC" w14:textId="77777777" w:rsidR="00F733B0" w:rsidRDefault="00F733B0">
            <w:pPr>
              <w:pStyle w:val="TableParagraph"/>
              <w:rPr>
                <w:b/>
                <w:sz w:val="25"/>
              </w:rPr>
            </w:pPr>
          </w:p>
          <w:p w14:paraId="3370B23A" w14:textId="77777777" w:rsidR="00F733B0" w:rsidRDefault="00000000">
            <w:pPr>
              <w:pStyle w:val="TableParagraph"/>
              <w:spacing w:line="278" w:lineRule="auto"/>
              <w:ind w:left="253" w:right="230"/>
              <w:jc w:val="center"/>
              <w:rPr>
                <w:b/>
                <w:lang w:val="en-US"/>
              </w:rPr>
            </w:pPr>
            <w:r>
              <w:rPr>
                <w:rFonts w:hint="eastAsia"/>
                <w:b/>
                <w:lang w:val="en-US"/>
              </w:rPr>
              <w:t>工作</w:t>
            </w:r>
            <w:r>
              <w:rPr>
                <w:b/>
              </w:rPr>
              <w:t>任务完成情况</w:t>
            </w:r>
            <w:r>
              <w:rPr>
                <w:rFonts w:hint="eastAsia"/>
                <w:b/>
                <w:lang w:val="en-US"/>
              </w:rPr>
              <w:t>与主要成果说明</w:t>
            </w:r>
          </w:p>
        </w:tc>
        <w:tc>
          <w:tcPr>
            <w:tcW w:w="6822" w:type="dxa"/>
            <w:gridSpan w:val="5"/>
            <w:tcBorders>
              <w:top w:val="single" w:sz="6" w:space="0" w:color="000000"/>
              <w:left w:val="single" w:sz="6" w:space="0" w:color="000000"/>
              <w:bottom w:val="single" w:sz="6" w:space="0" w:color="000000"/>
            </w:tcBorders>
            <w:vAlign w:val="center"/>
          </w:tcPr>
          <w:p w14:paraId="05722973" w14:textId="77777777" w:rsidR="00F733B0" w:rsidRDefault="00000000">
            <w:pPr>
              <w:pStyle w:val="TableParagraph"/>
              <w:numPr>
                <w:ilvl w:val="0"/>
                <w:numId w:val="1"/>
              </w:numPr>
              <w:jc w:val="center"/>
              <w:rPr>
                <w:rFonts w:ascii="Times New Roman"/>
                <w:b/>
                <w:bCs/>
                <w:sz w:val="24"/>
                <w:szCs w:val="28"/>
                <w:lang w:val="en-US"/>
              </w:rPr>
            </w:pPr>
            <w:r>
              <w:rPr>
                <w:rFonts w:ascii="Times New Roman" w:hint="eastAsia"/>
                <w:b/>
                <w:bCs/>
                <w:sz w:val="24"/>
                <w:szCs w:val="28"/>
                <w:lang w:val="en-US"/>
              </w:rPr>
              <w:t>核心部件设计任务</w:t>
            </w:r>
          </w:p>
          <w:p w14:paraId="07ACD41B" w14:textId="77777777" w:rsidR="00F733B0" w:rsidRDefault="00F733B0">
            <w:pPr>
              <w:pStyle w:val="TableParagraph"/>
              <w:rPr>
                <w:rFonts w:ascii="Times New Roman"/>
                <w:b/>
                <w:bCs/>
                <w:sz w:val="22"/>
                <w:lang w:val="en-US"/>
              </w:rPr>
            </w:pPr>
          </w:p>
          <w:p w14:paraId="0C51D38C" w14:textId="77777777" w:rsidR="00F733B0" w:rsidRDefault="00000000">
            <w:pPr>
              <w:pStyle w:val="TableParagraph"/>
              <w:rPr>
                <w:rFonts w:ascii="Times New Roman"/>
                <w:b/>
                <w:bCs/>
                <w:sz w:val="24"/>
                <w:szCs w:val="28"/>
                <w:lang w:val="en-US"/>
              </w:rPr>
            </w:pPr>
            <w:r>
              <w:rPr>
                <w:rFonts w:ascii="Times New Roman" w:hint="eastAsia"/>
                <w:b/>
                <w:bCs/>
                <w:sz w:val="22"/>
                <w:lang w:val="en-US"/>
              </w:rPr>
              <w:t>任务需求：</w:t>
            </w:r>
            <w:proofErr w:type="gramStart"/>
            <w:r>
              <w:rPr>
                <w:rFonts w:ascii="Times New Roman" w:eastAsiaTheme="minorEastAsia" w:hAnsiTheme="minorHAnsi" w:cstheme="minorBidi" w:hint="eastAsia"/>
                <w:szCs w:val="22"/>
                <w:lang w:val="en-US" w:bidi="ar-SA"/>
              </w:rPr>
              <w:t>紧凑环</w:t>
            </w:r>
            <w:proofErr w:type="gramEnd"/>
            <w:r>
              <w:rPr>
                <w:rFonts w:ascii="Times New Roman" w:eastAsiaTheme="minorEastAsia" w:hAnsiTheme="minorHAnsi" w:cstheme="minorBidi" w:hint="eastAsia"/>
                <w:szCs w:val="22"/>
                <w:lang w:val="en-US" w:bidi="ar-SA"/>
              </w:rPr>
              <w:t>加料系统中如何提升气体电离率是整个系统研究的核心之一。当前主流的预电离系统包括有：同轴枪放电及螺旋波等离子体放电，本项研究主要开展面向</w:t>
            </w:r>
            <w:proofErr w:type="gramStart"/>
            <w:r>
              <w:rPr>
                <w:rFonts w:ascii="Times New Roman" w:eastAsiaTheme="minorEastAsia" w:hAnsiTheme="minorHAnsi" w:cstheme="minorBidi" w:hint="eastAsia"/>
                <w:szCs w:val="22"/>
                <w:lang w:val="en-US" w:bidi="ar-SA"/>
              </w:rPr>
              <w:t>紧凑环</w:t>
            </w:r>
            <w:proofErr w:type="gramEnd"/>
            <w:r>
              <w:rPr>
                <w:rFonts w:ascii="Times New Roman" w:eastAsiaTheme="minorEastAsia" w:hAnsiTheme="minorHAnsi" w:cstheme="minorBidi" w:hint="eastAsia"/>
                <w:szCs w:val="22"/>
                <w:lang w:val="en-US" w:bidi="ar-SA"/>
              </w:rPr>
              <w:t>加料系统的螺旋波等离子体源设计及测试方案研究。具体包括有：</w:t>
            </w:r>
          </w:p>
          <w:p w14:paraId="3A2D5D21" w14:textId="77777777" w:rsidR="00F733B0" w:rsidRDefault="00000000">
            <w:pPr>
              <w:pStyle w:val="TableParagraph"/>
              <w:spacing w:beforeLines="50" w:before="156"/>
              <w:rPr>
                <w:rFonts w:ascii="Times New Roman"/>
                <w:b/>
                <w:bCs/>
                <w:szCs w:val="22"/>
                <w:lang w:val="en-US"/>
              </w:rPr>
            </w:pPr>
            <w:r>
              <w:rPr>
                <w:rFonts w:ascii="Times New Roman" w:hint="eastAsia"/>
                <w:b/>
                <w:bCs/>
                <w:szCs w:val="22"/>
                <w:lang w:val="en-US"/>
              </w:rPr>
              <w:t>1.1</w:t>
            </w:r>
            <w:r>
              <w:rPr>
                <w:rFonts w:ascii="Times New Roman" w:hint="eastAsia"/>
                <w:b/>
                <w:bCs/>
                <w:szCs w:val="22"/>
                <w:lang w:val="en-US"/>
              </w:rPr>
              <w:t>预电离系统：螺旋波等离子源天线设计</w:t>
            </w:r>
          </w:p>
          <w:p w14:paraId="795A8876" w14:textId="77777777" w:rsidR="00F733B0" w:rsidRDefault="00000000">
            <w:pPr>
              <w:ind w:firstLineChars="200" w:firstLine="420"/>
              <w:rPr>
                <w:rFonts w:ascii="Times New Roman" w:hAnsi="Times New Roman"/>
              </w:rPr>
            </w:pPr>
            <w:r>
              <w:rPr>
                <w:rFonts w:ascii="Times New Roman" w:hint="eastAsia"/>
                <w:szCs w:val="22"/>
              </w:rPr>
              <w:t>完成天线作用原理分析、波长与天线长度匹配计算及典型天线形式选型适配等工作。明确了螺旋波等离子体以</w:t>
            </w:r>
            <w:r>
              <w:rPr>
                <w:rFonts w:ascii="Times New Roman" w:hint="eastAsia"/>
                <w:szCs w:val="22"/>
              </w:rPr>
              <w:t xml:space="preserve"> m = +1 </w:t>
            </w:r>
            <w:r>
              <w:rPr>
                <w:rFonts w:ascii="Times New Roman" w:hint="eastAsia"/>
                <w:szCs w:val="22"/>
              </w:rPr>
              <w:t>螺旋模式为目标模式，确定天线长度需设计为螺旋波波长的一半或奇数</w:t>
            </w:r>
            <w:proofErr w:type="gramStart"/>
            <w:r>
              <w:rPr>
                <w:rFonts w:ascii="Times New Roman" w:hint="eastAsia"/>
                <w:szCs w:val="22"/>
              </w:rPr>
              <w:t>倍</w:t>
            </w:r>
            <w:proofErr w:type="gramEnd"/>
            <w:r>
              <w:rPr>
                <w:rFonts w:ascii="Times New Roman" w:hint="eastAsia"/>
                <w:szCs w:val="22"/>
              </w:rPr>
              <w:t>以实现最优耦合，并针对不同应用场景完成双半圆形天线、平面螺旋天线、螺旋形天线及单圈环形天线的结构特性进行分析与适用场景匹配。并且</w:t>
            </w:r>
            <w:r>
              <w:rPr>
                <w:rFonts w:ascii="Times New Roman" w:hAnsi="Times New Roman" w:hint="eastAsia"/>
              </w:rPr>
              <w:t>综合考虑放电</w:t>
            </w:r>
            <w:proofErr w:type="gramStart"/>
            <w:r>
              <w:rPr>
                <w:rFonts w:ascii="Times New Roman" w:hAnsi="Times New Roman" w:hint="eastAsia"/>
              </w:rPr>
              <w:t>腔</w:t>
            </w:r>
            <w:proofErr w:type="gramEnd"/>
            <w:r>
              <w:rPr>
                <w:rFonts w:ascii="Times New Roman" w:hAnsi="Times New Roman" w:hint="eastAsia"/>
              </w:rPr>
              <w:t>尺寸、磁场均匀性、功率等级和散热方式，选择了</w:t>
            </w:r>
            <w:r>
              <w:rPr>
                <w:rFonts w:ascii="Times New Roman" w:eastAsia="宋体" w:hAnsi="宋体" w:cs="宋体" w:hint="eastAsia"/>
                <w:szCs w:val="22"/>
                <w:lang w:bidi="zh-CN"/>
              </w:rPr>
              <w:t>螺旋形天线如图</w:t>
            </w:r>
            <w:r>
              <w:rPr>
                <w:rFonts w:ascii="Times New Roman" w:eastAsia="宋体" w:hAnsi="宋体" w:cs="宋体" w:hint="eastAsia"/>
                <w:szCs w:val="22"/>
                <w:lang w:bidi="zh-CN"/>
              </w:rPr>
              <w:t>1</w:t>
            </w:r>
            <w:r>
              <w:rPr>
                <w:rFonts w:ascii="Times New Roman" w:eastAsia="宋体" w:hAnsi="宋体" w:cs="宋体" w:hint="eastAsia"/>
                <w:szCs w:val="22"/>
                <w:lang w:bidi="zh-CN"/>
              </w:rPr>
              <w:t>所示</w:t>
            </w:r>
            <w:r>
              <w:rPr>
                <w:rFonts w:ascii="Times New Roman" w:hAnsi="Times New Roman" w:hint="eastAsia"/>
              </w:rPr>
              <w:t>以保证天线激发的模式与放电系统的色散关系匹配，从而获得稳定、高效的能量耦合。</w:t>
            </w:r>
          </w:p>
          <w:p w14:paraId="21321007" w14:textId="77777777" w:rsidR="00F733B0" w:rsidRDefault="00000000">
            <w:pPr>
              <w:ind w:firstLineChars="200" w:firstLine="360"/>
              <w:rPr>
                <w:rFonts w:ascii="Times New Roman" w:hAnsi="Times New Roman"/>
              </w:rPr>
            </w:pPr>
            <w:r>
              <w:rPr>
                <w:noProof/>
                <w:sz w:val="18"/>
                <w:szCs w:val="18"/>
              </w:rPr>
              <w:drawing>
                <wp:anchor distT="0" distB="0" distL="114300" distR="114300" simplePos="0" relativeHeight="251659264" behindDoc="0" locked="0" layoutInCell="1" allowOverlap="1" wp14:anchorId="56362831" wp14:editId="76B0C76C">
                  <wp:simplePos x="0" y="0"/>
                  <wp:positionH relativeFrom="column">
                    <wp:posOffset>474980</wp:posOffset>
                  </wp:positionH>
                  <wp:positionV relativeFrom="paragraph">
                    <wp:posOffset>36830</wp:posOffset>
                  </wp:positionV>
                  <wp:extent cx="3429000" cy="2530475"/>
                  <wp:effectExtent l="0" t="0" r="0" b="3175"/>
                  <wp:wrapTopAndBottom/>
                  <wp:docPr id="5" name="图片 2" descr="4baee312732846bfd194731373944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4baee312732846bfd194731373944e61"/>
                          <pic:cNvPicPr>
                            <a:picLocks noChangeAspect="1"/>
                          </pic:cNvPicPr>
                        </pic:nvPicPr>
                        <pic:blipFill>
                          <a:blip r:embed="rId5"/>
                          <a:srcRect l="10728" r="13899" b="13463"/>
                          <a:stretch>
                            <a:fillRect/>
                          </a:stretch>
                        </pic:blipFill>
                        <pic:spPr>
                          <a:xfrm>
                            <a:off x="0" y="0"/>
                            <a:ext cx="3429000" cy="2530475"/>
                          </a:xfrm>
                          <a:prstGeom prst="rect">
                            <a:avLst/>
                          </a:prstGeom>
                          <a:noFill/>
                          <a:ln>
                            <a:noFill/>
                          </a:ln>
                        </pic:spPr>
                      </pic:pic>
                    </a:graphicData>
                  </a:graphic>
                </wp:anchor>
              </w:drawing>
            </w:r>
          </w:p>
          <w:p w14:paraId="189DAB72" w14:textId="77777777" w:rsidR="00F733B0" w:rsidRDefault="00000000">
            <w:pPr>
              <w:ind w:firstLineChars="200" w:firstLine="420"/>
              <w:jc w:val="center"/>
              <w:rPr>
                <w:rFonts w:ascii="Times New Roman" w:eastAsia="宋体" w:hAnsi="宋体" w:cs="宋体"/>
                <w:szCs w:val="22"/>
                <w:lang w:bidi="zh-CN"/>
              </w:rPr>
            </w:pPr>
            <w:r>
              <w:rPr>
                <w:rFonts w:ascii="Times New Roman" w:eastAsia="宋体" w:hAnsi="宋体" w:cs="宋体" w:hint="eastAsia"/>
                <w:szCs w:val="22"/>
                <w:lang w:bidi="zh-CN"/>
              </w:rPr>
              <w:t>图</w:t>
            </w:r>
            <w:r>
              <w:rPr>
                <w:rFonts w:ascii="Times New Roman" w:eastAsia="宋体" w:hAnsi="宋体" w:cs="宋体" w:hint="eastAsia"/>
                <w:szCs w:val="22"/>
                <w:lang w:bidi="zh-CN"/>
              </w:rPr>
              <w:t xml:space="preserve">1 </w:t>
            </w:r>
            <w:r>
              <w:rPr>
                <w:rFonts w:ascii="Times New Roman" w:eastAsia="宋体" w:hAnsi="宋体" w:cs="宋体" w:hint="eastAsia"/>
                <w:szCs w:val="22"/>
                <w:lang w:bidi="zh-CN"/>
              </w:rPr>
              <w:t>螺旋形天线实物图</w:t>
            </w:r>
          </w:p>
          <w:p w14:paraId="73C6F227" w14:textId="77777777" w:rsidR="00F733B0" w:rsidRDefault="00F733B0">
            <w:pPr>
              <w:ind w:firstLineChars="200" w:firstLine="420"/>
              <w:jc w:val="center"/>
              <w:rPr>
                <w:rFonts w:ascii="Times New Roman" w:eastAsia="宋体" w:hAnsi="宋体" w:cs="宋体"/>
                <w:szCs w:val="22"/>
                <w:lang w:bidi="zh-CN"/>
              </w:rPr>
            </w:pPr>
          </w:p>
          <w:p w14:paraId="3244B5C9" w14:textId="77777777" w:rsidR="00F733B0" w:rsidRDefault="00000000">
            <w:pPr>
              <w:pStyle w:val="TableParagraph"/>
              <w:rPr>
                <w:rFonts w:ascii="Times New Roman"/>
                <w:b/>
                <w:bCs/>
                <w:szCs w:val="22"/>
                <w:lang w:val="en-US"/>
              </w:rPr>
            </w:pPr>
            <w:r>
              <w:rPr>
                <w:rFonts w:ascii="Times New Roman" w:hint="eastAsia"/>
                <w:b/>
                <w:bCs/>
                <w:szCs w:val="22"/>
                <w:lang w:val="en-US"/>
              </w:rPr>
              <w:t>1</w:t>
            </w:r>
            <w:r>
              <w:rPr>
                <w:rFonts w:ascii="Times New Roman"/>
                <w:b/>
                <w:bCs/>
                <w:szCs w:val="22"/>
                <w:lang w:val="en-US"/>
              </w:rPr>
              <w:t>.</w:t>
            </w:r>
            <w:r>
              <w:rPr>
                <w:rFonts w:ascii="Times New Roman" w:hint="eastAsia"/>
                <w:b/>
                <w:bCs/>
                <w:szCs w:val="22"/>
                <w:lang w:val="en-US"/>
              </w:rPr>
              <w:t>2</w:t>
            </w:r>
            <w:r>
              <w:rPr>
                <w:rFonts w:ascii="Times New Roman" w:hint="eastAsia"/>
                <w:b/>
                <w:bCs/>
                <w:szCs w:val="22"/>
                <w:lang w:val="en-US"/>
              </w:rPr>
              <w:t>谐振腔与放电室设计</w:t>
            </w:r>
          </w:p>
          <w:p w14:paraId="10FE9DFD" w14:textId="77777777" w:rsidR="00F733B0" w:rsidRDefault="00000000">
            <w:pPr>
              <w:pStyle w:val="TableParagraph"/>
              <w:ind w:firstLineChars="200" w:firstLine="420"/>
              <w:rPr>
                <w:rFonts w:ascii="Times New Roman" w:eastAsiaTheme="minorEastAsia" w:hAnsiTheme="minorHAnsi" w:cstheme="minorBidi"/>
                <w:szCs w:val="22"/>
                <w:lang w:val="en-US" w:bidi="ar-SA"/>
              </w:rPr>
            </w:pPr>
            <w:r>
              <w:rPr>
                <w:rFonts w:ascii="Times New Roman" w:eastAsiaTheme="minorEastAsia" w:hAnsiTheme="minorHAnsi" w:cstheme="minorBidi" w:hint="eastAsia"/>
                <w:szCs w:val="22"/>
                <w:lang w:val="en-US" w:bidi="ar-SA"/>
              </w:rPr>
              <w:t>完成圆柱形谐振腔与放电室的几何尺寸设计、材料选型及密封结构设计。</w:t>
            </w:r>
            <w:r>
              <w:rPr>
                <w:rFonts w:ascii="Times New Roman" w:hAnsi="Times New Roman" w:hint="eastAsia"/>
              </w:rPr>
              <w:t>放电</w:t>
            </w:r>
            <w:proofErr w:type="gramStart"/>
            <w:r>
              <w:rPr>
                <w:rFonts w:ascii="Times New Roman" w:hAnsi="Times New Roman" w:hint="eastAsia"/>
              </w:rPr>
              <w:t>腔</w:t>
            </w:r>
            <w:proofErr w:type="gramEnd"/>
            <w:r>
              <w:rPr>
                <w:rFonts w:ascii="Times New Roman" w:hAnsi="Times New Roman" w:hint="eastAsia"/>
              </w:rPr>
              <w:t>采用圆柱形石英或氧化铝陶瓷管</w:t>
            </w:r>
            <w:r>
              <w:rPr>
                <w:rFonts w:ascii="Times New Roman" w:hAnsi="Times New Roman" w:hint="eastAsia"/>
                <w:lang w:val="en-US"/>
              </w:rPr>
              <w:t>如图</w:t>
            </w:r>
            <w:r>
              <w:rPr>
                <w:rFonts w:ascii="Times New Roman" w:hAnsi="Times New Roman" w:hint="eastAsia"/>
                <w:lang w:val="en-US"/>
              </w:rPr>
              <w:t>2</w:t>
            </w:r>
            <w:r>
              <w:rPr>
                <w:rFonts w:ascii="Times New Roman" w:hAnsi="Times New Roman" w:hint="eastAsia"/>
                <w:lang w:val="en-US"/>
              </w:rPr>
              <w:t>所示</w:t>
            </w:r>
            <w:r>
              <w:rPr>
                <w:rFonts w:ascii="Times New Roman" w:hAnsi="Times New Roman" w:hint="eastAsia"/>
              </w:rPr>
              <w:t>，</w:t>
            </w:r>
            <w:r>
              <w:rPr>
                <w:rFonts w:ascii="Times New Roman" w:hAnsi="Times New Roman" w:hint="eastAsia"/>
                <w:lang w:val="en-US"/>
              </w:rPr>
              <w:t>并确定其</w:t>
            </w:r>
            <w:r>
              <w:rPr>
                <w:rFonts w:ascii="Times New Roman" w:eastAsiaTheme="minorEastAsia" w:hAnsiTheme="minorHAnsi" w:cstheme="minorBidi" w:hint="eastAsia"/>
                <w:szCs w:val="22"/>
                <w:lang w:val="en-US" w:bidi="ar-SA"/>
              </w:rPr>
              <w:t>腔体半</w:t>
            </w:r>
            <w:r>
              <w:rPr>
                <w:rFonts w:ascii="Times New Roman" w:eastAsiaTheme="minorEastAsia" w:hAnsiTheme="minorHAnsi" w:cstheme="minorBidi" w:hint="eastAsia"/>
                <w:szCs w:val="22"/>
                <w:lang w:val="en-US" w:bidi="ar-SA"/>
              </w:rPr>
              <w:lastRenderedPageBreak/>
              <w:t>径满足本征条件</w:t>
            </w:r>
            <w:r>
              <w:rPr>
                <w:rFonts w:ascii="Times New Roman" w:eastAsiaTheme="minorEastAsia" w:hAnsiTheme="minorHAnsi" w:cstheme="minorBidi" w:hint="eastAsia"/>
                <w:szCs w:val="22"/>
                <w:lang w:val="en-US" w:bidi="ar-SA"/>
              </w:rPr>
              <w:t xml:space="preserve"> k</w:t>
            </w:r>
            <w:r>
              <w:rPr>
                <w:rFonts w:ascii="Times New Roman" w:eastAsiaTheme="minorEastAsia" w:hAnsiTheme="minorHAnsi" w:cstheme="minorBidi" w:hint="eastAsia"/>
                <w:szCs w:val="22"/>
                <w:vertAlign w:val="subscript"/>
                <w:lang w:val="en-US" w:bidi="ar-SA"/>
              </w:rPr>
              <w:t>⊥</w:t>
            </w:r>
            <w:r>
              <w:rPr>
                <w:rFonts w:ascii="Times New Roman" w:eastAsiaTheme="minorEastAsia" w:hAnsiTheme="minorHAnsi" w:cstheme="minorBidi" w:hint="eastAsia"/>
                <w:szCs w:val="22"/>
                <w:lang w:val="en-US" w:bidi="ar-SA"/>
              </w:rPr>
              <w:t>R</w:t>
            </w:r>
            <w:r>
              <w:rPr>
                <w:rFonts w:ascii="Times New Roman" w:eastAsiaTheme="minorEastAsia" w:hAnsiTheme="minorHAnsi" w:cstheme="minorBidi" w:hint="eastAsia"/>
                <w:szCs w:val="22"/>
                <w:lang w:val="en-US" w:bidi="ar-SA"/>
              </w:rPr>
              <w:t>≈</w:t>
            </w:r>
            <w:r>
              <w:rPr>
                <w:rFonts w:ascii="Times New Roman" w:eastAsiaTheme="minorEastAsia" w:hAnsiTheme="minorHAnsi" w:cstheme="minorBidi" w:hint="eastAsia"/>
                <w:szCs w:val="22"/>
                <w:lang w:val="en-US" w:bidi="ar-SA"/>
              </w:rPr>
              <w:t>3.83</w:t>
            </w:r>
            <w:r>
              <w:rPr>
                <w:rFonts w:ascii="Times New Roman" w:eastAsiaTheme="minorEastAsia" w:hAnsiTheme="minorHAnsi" w:cstheme="minorBidi" w:hint="eastAsia"/>
                <w:szCs w:val="22"/>
                <w:lang w:val="en-US" w:bidi="ar-SA"/>
              </w:rPr>
              <w:t>（取值</w:t>
            </w:r>
            <w:r>
              <w:rPr>
                <w:rFonts w:ascii="Times New Roman" w:eastAsiaTheme="minorEastAsia" w:hAnsiTheme="minorHAnsi" w:cstheme="minorBidi" w:hint="eastAsia"/>
                <w:szCs w:val="22"/>
                <w:lang w:val="en-US" w:bidi="ar-SA"/>
              </w:rPr>
              <w:t xml:space="preserve"> 5</w:t>
            </w:r>
            <w:r>
              <w:rPr>
                <w:rFonts w:ascii="Times New Roman" w:eastAsiaTheme="minorEastAsia" w:hAnsiTheme="minorHAnsi" w:cstheme="minorBidi" w:hint="eastAsia"/>
                <w:szCs w:val="22"/>
                <w:lang w:val="en-US" w:bidi="ar-SA"/>
              </w:rPr>
              <w:t>–</w:t>
            </w:r>
            <w:r>
              <w:rPr>
                <w:rFonts w:ascii="Times New Roman" w:eastAsiaTheme="minorEastAsia" w:hAnsiTheme="minorHAnsi" w:cstheme="minorBidi" w:hint="eastAsia"/>
                <w:szCs w:val="22"/>
                <w:lang w:val="en-US" w:bidi="ar-SA"/>
              </w:rPr>
              <w:t>8cm</w:t>
            </w:r>
            <w:r>
              <w:rPr>
                <w:rFonts w:ascii="Times New Roman" w:eastAsiaTheme="minorEastAsia" w:hAnsiTheme="minorHAnsi" w:cstheme="minorBidi" w:hint="eastAsia"/>
                <w:szCs w:val="22"/>
                <w:lang w:val="en-US" w:bidi="ar-SA"/>
              </w:rPr>
              <w:t>），长度为螺旋波轴向波长的</w:t>
            </w:r>
            <w:r>
              <w:rPr>
                <w:rFonts w:ascii="Times New Roman" w:eastAsiaTheme="minorEastAsia" w:hAnsiTheme="minorHAnsi" w:cstheme="minorBidi" w:hint="eastAsia"/>
                <w:szCs w:val="22"/>
                <w:lang w:val="en-US" w:bidi="ar-SA"/>
              </w:rPr>
              <w:t xml:space="preserve"> 1/2 </w:t>
            </w:r>
            <w:r>
              <w:rPr>
                <w:rFonts w:ascii="Times New Roman" w:eastAsiaTheme="minorEastAsia" w:hAnsiTheme="minorHAnsi" w:cstheme="minorBidi" w:hint="eastAsia"/>
                <w:szCs w:val="22"/>
                <w:lang w:val="en-US" w:bidi="ar-SA"/>
              </w:rPr>
              <w:t>或奇数</w:t>
            </w:r>
            <w:proofErr w:type="gramStart"/>
            <w:r>
              <w:rPr>
                <w:rFonts w:ascii="Times New Roman" w:eastAsiaTheme="minorEastAsia" w:hAnsiTheme="minorHAnsi" w:cstheme="minorBidi" w:hint="eastAsia"/>
                <w:szCs w:val="22"/>
                <w:lang w:val="en-US" w:bidi="ar-SA"/>
              </w:rPr>
              <w:t>倍</w:t>
            </w:r>
            <w:proofErr w:type="gramEnd"/>
            <w:r>
              <w:rPr>
                <w:rFonts w:ascii="Times New Roman" w:eastAsiaTheme="minorEastAsia" w:hAnsiTheme="minorHAnsi" w:cstheme="minorBidi" w:hint="eastAsia"/>
                <w:szCs w:val="22"/>
                <w:lang w:val="en-US" w:bidi="ar-SA"/>
              </w:rPr>
              <w:t>半波；选定石英（中低功率实验）与氧化铝陶瓷（高功率放电）作为</w:t>
            </w:r>
            <w:proofErr w:type="gramStart"/>
            <w:r>
              <w:rPr>
                <w:rFonts w:ascii="Times New Roman" w:eastAsiaTheme="minorEastAsia" w:hAnsiTheme="minorHAnsi" w:cstheme="minorBidi" w:hint="eastAsia"/>
                <w:szCs w:val="22"/>
                <w:lang w:val="en-US" w:bidi="ar-SA"/>
              </w:rPr>
              <w:t>腔体材</w:t>
            </w:r>
            <w:proofErr w:type="gramEnd"/>
            <w:r>
              <w:rPr>
                <w:rFonts w:ascii="Times New Roman" w:eastAsiaTheme="minorEastAsia" w:hAnsiTheme="minorHAnsi" w:cstheme="minorBidi" w:hint="eastAsia"/>
                <w:szCs w:val="22"/>
                <w:lang w:val="en-US" w:bidi="ar-SA"/>
              </w:rPr>
              <w:t>料；设计真空密封结构以应对与金属扩散</w:t>
            </w:r>
            <w:proofErr w:type="gramStart"/>
            <w:r>
              <w:rPr>
                <w:rFonts w:ascii="Times New Roman" w:eastAsiaTheme="minorEastAsia" w:hAnsiTheme="minorHAnsi" w:cstheme="minorBidi" w:hint="eastAsia"/>
                <w:szCs w:val="22"/>
                <w:lang w:val="en-US" w:bidi="ar-SA"/>
              </w:rPr>
              <w:t>腔</w:t>
            </w:r>
            <w:proofErr w:type="gramEnd"/>
            <w:r>
              <w:rPr>
                <w:rFonts w:ascii="Times New Roman" w:eastAsiaTheme="minorEastAsia" w:hAnsiTheme="minorHAnsi" w:cstheme="minorBidi" w:hint="eastAsia"/>
                <w:szCs w:val="22"/>
                <w:lang w:val="en-US" w:bidi="ar-SA"/>
              </w:rPr>
              <w:t>连接时的热膨胀差异，防止微裂纹与气体泄漏。</w:t>
            </w:r>
          </w:p>
          <w:p w14:paraId="12FFAEB5" w14:textId="77777777" w:rsidR="00F733B0" w:rsidRDefault="00000000">
            <w:pPr>
              <w:pStyle w:val="TableParagraph"/>
              <w:ind w:firstLineChars="200" w:firstLine="420"/>
              <w:rPr>
                <w:rFonts w:ascii="Times New Roman" w:eastAsiaTheme="minorEastAsia" w:hAnsiTheme="minorHAnsi" w:cstheme="minorBidi"/>
                <w:szCs w:val="22"/>
                <w:lang w:val="en-US" w:bidi="ar-SA"/>
              </w:rPr>
            </w:pPr>
            <w:r>
              <w:rPr>
                <w:rFonts w:hint="eastAsia"/>
                <w:noProof/>
              </w:rPr>
              <w:drawing>
                <wp:anchor distT="0" distB="0" distL="114300" distR="114300" simplePos="0" relativeHeight="251661312" behindDoc="0" locked="0" layoutInCell="1" allowOverlap="1" wp14:anchorId="76DF8273" wp14:editId="779C7EAB">
                  <wp:simplePos x="0" y="0"/>
                  <wp:positionH relativeFrom="column">
                    <wp:posOffset>266700</wp:posOffset>
                  </wp:positionH>
                  <wp:positionV relativeFrom="paragraph">
                    <wp:posOffset>7620</wp:posOffset>
                  </wp:positionV>
                  <wp:extent cx="3981450" cy="1354455"/>
                  <wp:effectExtent l="0" t="0" r="0" b="17145"/>
                  <wp:wrapTopAndBottom/>
                  <wp:docPr id="9" name="图片 1" descr="一种石英内充气正比计数管的制作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一种石英内充气正比计数管的制作方法"/>
                          <pic:cNvPicPr>
                            <a:picLocks noChangeAspect="1"/>
                          </pic:cNvPicPr>
                        </pic:nvPicPr>
                        <pic:blipFill>
                          <a:blip r:embed="rId6"/>
                          <a:stretch>
                            <a:fillRect/>
                          </a:stretch>
                        </pic:blipFill>
                        <pic:spPr>
                          <a:xfrm>
                            <a:off x="0" y="0"/>
                            <a:ext cx="3981450" cy="1354455"/>
                          </a:xfrm>
                          <a:prstGeom prst="rect">
                            <a:avLst/>
                          </a:prstGeom>
                          <a:noFill/>
                          <a:ln>
                            <a:noFill/>
                          </a:ln>
                        </pic:spPr>
                      </pic:pic>
                    </a:graphicData>
                  </a:graphic>
                </wp:anchor>
              </w:drawing>
            </w:r>
          </w:p>
          <w:p w14:paraId="75DE0747" w14:textId="77777777" w:rsidR="00F733B0" w:rsidRDefault="00000000">
            <w:pPr>
              <w:ind w:firstLineChars="200" w:firstLine="420"/>
              <w:jc w:val="center"/>
              <w:rPr>
                <w:rFonts w:ascii="Times New Roman" w:eastAsia="宋体" w:hAnsi="宋体" w:cs="宋体"/>
                <w:szCs w:val="22"/>
                <w:lang w:bidi="zh-CN"/>
              </w:rPr>
            </w:pPr>
            <w:r>
              <w:rPr>
                <w:rFonts w:ascii="Times New Roman" w:eastAsia="宋体" w:hAnsi="宋体" w:cs="宋体" w:hint="eastAsia"/>
                <w:szCs w:val="22"/>
                <w:lang w:bidi="zh-CN"/>
              </w:rPr>
              <w:t>图</w:t>
            </w:r>
            <w:r>
              <w:rPr>
                <w:rFonts w:ascii="Times New Roman" w:eastAsia="宋体" w:hAnsi="宋体" w:cs="宋体" w:hint="eastAsia"/>
                <w:szCs w:val="22"/>
                <w:lang w:bidi="zh-CN"/>
              </w:rPr>
              <w:t xml:space="preserve">2 </w:t>
            </w:r>
            <w:r>
              <w:rPr>
                <w:rFonts w:ascii="Times New Roman" w:eastAsia="宋体" w:hAnsi="宋体" w:cs="宋体" w:hint="eastAsia"/>
                <w:szCs w:val="22"/>
                <w:lang w:bidi="zh-CN"/>
              </w:rPr>
              <w:t>圆柱形石英管设计图</w:t>
            </w:r>
          </w:p>
          <w:p w14:paraId="61CA3177" w14:textId="77777777" w:rsidR="00F733B0" w:rsidRDefault="00F733B0">
            <w:pPr>
              <w:ind w:firstLineChars="200" w:firstLine="420"/>
              <w:jc w:val="center"/>
              <w:rPr>
                <w:rFonts w:ascii="Times New Roman" w:eastAsia="宋体" w:hAnsi="宋体" w:cs="宋体"/>
                <w:szCs w:val="22"/>
                <w:lang w:bidi="zh-CN"/>
              </w:rPr>
            </w:pPr>
          </w:p>
          <w:p w14:paraId="24D89A0B" w14:textId="77777777" w:rsidR="00F733B0" w:rsidRDefault="00000000">
            <w:pPr>
              <w:pStyle w:val="TableParagraph"/>
              <w:rPr>
                <w:rFonts w:ascii="Times New Roman"/>
                <w:b/>
                <w:bCs/>
                <w:szCs w:val="22"/>
                <w:lang w:val="en-US"/>
              </w:rPr>
            </w:pPr>
            <w:r>
              <w:rPr>
                <w:rFonts w:ascii="Times New Roman" w:hint="eastAsia"/>
                <w:b/>
                <w:bCs/>
                <w:szCs w:val="22"/>
                <w:lang w:val="en-US"/>
              </w:rPr>
              <w:t>1.3</w:t>
            </w:r>
            <w:r>
              <w:rPr>
                <w:rFonts w:ascii="Times New Roman" w:hint="eastAsia"/>
                <w:b/>
                <w:bCs/>
                <w:szCs w:val="22"/>
                <w:lang w:val="en-US"/>
              </w:rPr>
              <w:t>匹配网络设计</w:t>
            </w:r>
          </w:p>
          <w:p w14:paraId="249A5C7C" w14:textId="77777777" w:rsidR="00F733B0" w:rsidRDefault="00000000">
            <w:pPr>
              <w:pStyle w:val="TableParagraph"/>
              <w:ind w:firstLineChars="200" w:firstLine="420"/>
              <w:rPr>
                <w:rFonts w:ascii="Times New Roman" w:eastAsiaTheme="minorEastAsia" w:hAnsiTheme="minorHAnsi" w:cstheme="minorBidi"/>
                <w:szCs w:val="22"/>
                <w:lang w:val="en-US" w:bidi="ar-SA"/>
              </w:rPr>
            </w:pPr>
            <w:r>
              <w:rPr>
                <w:rFonts w:ascii="Times New Roman" w:eastAsiaTheme="minorEastAsia" w:hAnsiTheme="minorHAnsi" w:cstheme="minorBidi" w:hint="eastAsia"/>
                <w:szCs w:val="22"/>
                <w:lang w:val="en-US" w:bidi="ar-SA"/>
              </w:rPr>
              <w:t>完成阻抗匹配网络的拓扑选型、参数设计及干扰抑制设计。选定π型（高功率、宽匹配范围）与</w:t>
            </w:r>
            <w:r>
              <w:rPr>
                <w:rFonts w:ascii="Times New Roman" w:eastAsiaTheme="minorEastAsia" w:hAnsiTheme="minorHAnsi" w:cstheme="minorBidi" w:hint="eastAsia"/>
                <w:szCs w:val="22"/>
                <w:lang w:val="en-US" w:bidi="ar-SA"/>
              </w:rPr>
              <w:t>L</w:t>
            </w:r>
            <w:r>
              <w:rPr>
                <w:rFonts w:ascii="Times New Roman" w:eastAsiaTheme="minorEastAsia" w:hAnsiTheme="minorHAnsi" w:cstheme="minorBidi" w:hint="eastAsia"/>
                <w:szCs w:val="22"/>
                <w:lang w:val="en-US" w:bidi="ar-SA"/>
              </w:rPr>
              <w:t>型（紧凑、调节简便）两种匹配形式，通</w:t>
            </w:r>
            <w:r>
              <w:rPr>
                <w:rFonts w:ascii="Times New Roman" w:hAnsi="Times New Roman" w:hint="eastAsia"/>
              </w:rPr>
              <w:t>过手动或自动方式调节。</w:t>
            </w:r>
            <w:r>
              <w:rPr>
                <w:rFonts w:ascii="Times New Roman" w:eastAsiaTheme="minorEastAsia" w:hAnsiTheme="minorHAnsi" w:cstheme="minorBidi" w:hint="eastAsia"/>
                <w:szCs w:val="22"/>
                <w:lang w:val="en-US" w:bidi="ar-SA"/>
              </w:rPr>
              <w:t>确定由可调真空电容与线圈电感组成网络结构，明确调谐目标为反射功率</w:t>
            </w:r>
            <w:r>
              <w:rPr>
                <w:rFonts w:ascii="Times New Roman" w:eastAsiaTheme="minorEastAsia" w:hAnsiTheme="minorHAnsi" w:cstheme="minorBidi" w:hint="eastAsia"/>
                <w:szCs w:val="22"/>
                <w:lang w:val="en-US" w:bidi="ar-SA"/>
              </w:rPr>
              <w:t>S</w:t>
            </w:r>
            <w:r>
              <w:rPr>
                <w:rFonts w:ascii="Times New Roman" w:eastAsiaTheme="minorEastAsia" w:hAnsiTheme="minorHAnsi" w:cstheme="minorBidi" w:hint="eastAsia"/>
                <w:szCs w:val="22"/>
                <w:vertAlign w:val="subscript"/>
                <w:lang w:val="en-US" w:bidi="ar-SA"/>
              </w:rPr>
              <w:t>11</w:t>
            </w:r>
            <w:r>
              <w:rPr>
                <w:rFonts w:ascii="Times New Roman" w:eastAsiaTheme="minorEastAsia" w:hAnsiTheme="minorHAnsi" w:cstheme="minorBidi" w:hint="eastAsia"/>
                <w:szCs w:val="22"/>
                <w:lang w:val="en-US" w:bidi="ar-SA"/>
              </w:rPr>
              <w:t>低于–</w:t>
            </w:r>
            <w:r>
              <w:rPr>
                <w:rFonts w:ascii="Times New Roman" w:eastAsiaTheme="minorEastAsia" w:hAnsiTheme="minorHAnsi" w:cstheme="minorBidi" w:hint="eastAsia"/>
                <w:szCs w:val="22"/>
                <w:lang w:val="en-US" w:bidi="ar-SA"/>
              </w:rPr>
              <w:t>20dB</w:t>
            </w:r>
            <w:r>
              <w:rPr>
                <w:rFonts w:ascii="Times New Roman" w:eastAsiaTheme="minorEastAsia" w:hAnsiTheme="minorHAnsi" w:cstheme="minorBidi" w:hint="eastAsia"/>
                <w:szCs w:val="22"/>
                <w:lang w:val="en-US" w:bidi="ar-SA"/>
              </w:rPr>
              <w:t>（耦合效率＞</w:t>
            </w:r>
            <w:r>
              <w:rPr>
                <w:rFonts w:ascii="Times New Roman" w:eastAsiaTheme="minorEastAsia" w:hAnsiTheme="minorHAnsi" w:cstheme="minorBidi" w:hint="eastAsia"/>
                <w:szCs w:val="22"/>
                <w:lang w:val="en-US" w:bidi="ar-SA"/>
              </w:rPr>
              <w:t>95%</w:t>
            </w:r>
            <w:r>
              <w:rPr>
                <w:rFonts w:ascii="Times New Roman" w:eastAsiaTheme="minorEastAsia" w:hAnsiTheme="minorHAnsi" w:cstheme="minorBidi" w:hint="eastAsia"/>
                <w:szCs w:val="22"/>
                <w:lang w:val="en-US" w:bidi="ar-SA"/>
              </w:rPr>
              <w:t>）；在匹配网络与放电</w:t>
            </w:r>
            <w:proofErr w:type="gramStart"/>
            <w:r>
              <w:rPr>
                <w:rFonts w:ascii="Times New Roman" w:eastAsiaTheme="minorEastAsia" w:hAnsiTheme="minorHAnsi" w:cstheme="minorBidi" w:hint="eastAsia"/>
                <w:szCs w:val="22"/>
                <w:lang w:val="en-US" w:bidi="ar-SA"/>
              </w:rPr>
              <w:t>腔</w:t>
            </w:r>
            <w:proofErr w:type="gramEnd"/>
            <w:r>
              <w:rPr>
                <w:rFonts w:ascii="Times New Roman" w:eastAsiaTheme="minorEastAsia" w:hAnsiTheme="minorHAnsi" w:cstheme="minorBidi" w:hint="eastAsia"/>
                <w:szCs w:val="22"/>
                <w:lang w:val="en-US" w:bidi="ar-SA"/>
              </w:rPr>
              <w:t>之间设计隔离电容与滤波单元，抑制射频干扰并保护测量仪表，同时规划结合放电参数建立等效电路模型，实现实时监测与闭环调谐，射频电源如图</w:t>
            </w:r>
            <w:r>
              <w:rPr>
                <w:rFonts w:ascii="Times New Roman" w:eastAsiaTheme="minorEastAsia" w:hAnsiTheme="minorHAnsi" w:cstheme="minorBidi" w:hint="eastAsia"/>
                <w:szCs w:val="22"/>
                <w:lang w:val="en-US" w:bidi="ar-SA"/>
              </w:rPr>
              <w:t>3</w:t>
            </w:r>
            <w:r>
              <w:rPr>
                <w:rFonts w:ascii="Times New Roman" w:eastAsiaTheme="minorEastAsia" w:hAnsiTheme="minorHAnsi" w:cstheme="minorBidi" w:hint="eastAsia"/>
                <w:szCs w:val="22"/>
                <w:lang w:val="en-US" w:bidi="ar-SA"/>
              </w:rPr>
              <w:t>所示。</w:t>
            </w:r>
          </w:p>
          <w:p w14:paraId="50DAB545" w14:textId="77777777" w:rsidR="00F733B0" w:rsidRDefault="00000000">
            <w:pPr>
              <w:pStyle w:val="TableParagraph"/>
              <w:ind w:firstLineChars="200" w:firstLine="420"/>
            </w:pPr>
            <w:r>
              <w:rPr>
                <w:rFonts w:hint="eastAsia"/>
                <w:noProof/>
              </w:rPr>
              <w:drawing>
                <wp:anchor distT="0" distB="0" distL="114300" distR="114300" simplePos="0" relativeHeight="251660288" behindDoc="0" locked="0" layoutInCell="1" allowOverlap="1" wp14:anchorId="49B460EE" wp14:editId="27F75936">
                  <wp:simplePos x="0" y="0"/>
                  <wp:positionH relativeFrom="column">
                    <wp:posOffset>266700</wp:posOffset>
                  </wp:positionH>
                  <wp:positionV relativeFrom="paragraph">
                    <wp:posOffset>45720</wp:posOffset>
                  </wp:positionV>
                  <wp:extent cx="3917315" cy="2275205"/>
                  <wp:effectExtent l="0" t="0" r="6985" b="10795"/>
                  <wp:wrapTopAndBottom/>
                  <wp:docPr id="13" name="图片 2" descr="射频自动阻抗匹配器及半导体设备的制作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射频自动阻抗匹配器及半导体设备的制作方法"/>
                          <pic:cNvPicPr>
                            <a:picLocks noChangeAspect="1"/>
                          </pic:cNvPicPr>
                        </pic:nvPicPr>
                        <pic:blipFill>
                          <a:blip r:embed="rId7"/>
                          <a:stretch>
                            <a:fillRect/>
                          </a:stretch>
                        </pic:blipFill>
                        <pic:spPr>
                          <a:xfrm>
                            <a:off x="0" y="0"/>
                            <a:ext cx="3917315" cy="2275205"/>
                          </a:xfrm>
                          <a:prstGeom prst="rect">
                            <a:avLst/>
                          </a:prstGeom>
                          <a:noFill/>
                          <a:ln>
                            <a:noFill/>
                          </a:ln>
                        </pic:spPr>
                      </pic:pic>
                    </a:graphicData>
                  </a:graphic>
                </wp:anchor>
              </w:drawing>
            </w:r>
          </w:p>
          <w:p w14:paraId="7169090E" w14:textId="77777777" w:rsidR="00F733B0" w:rsidRDefault="00000000">
            <w:pPr>
              <w:ind w:firstLineChars="200" w:firstLine="420"/>
              <w:jc w:val="center"/>
              <w:rPr>
                <w:rFonts w:ascii="Times New Roman" w:eastAsia="宋体" w:hAnsi="宋体" w:cs="宋体"/>
                <w:szCs w:val="22"/>
                <w:lang w:bidi="zh-CN"/>
              </w:rPr>
            </w:pPr>
            <w:r>
              <w:rPr>
                <w:rFonts w:ascii="Times New Roman" w:eastAsia="宋体" w:hAnsi="宋体" w:cs="宋体" w:hint="eastAsia"/>
                <w:szCs w:val="22"/>
                <w:lang w:bidi="zh-CN"/>
              </w:rPr>
              <w:t>图</w:t>
            </w:r>
            <w:r>
              <w:rPr>
                <w:rFonts w:ascii="Times New Roman" w:eastAsia="宋体" w:hAnsi="宋体" w:cs="宋体" w:hint="eastAsia"/>
                <w:szCs w:val="22"/>
                <w:lang w:bidi="zh-CN"/>
              </w:rPr>
              <w:t xml:space="preserve">3 </w:t>
            </w:r>
            <w:r>
              <w:rPr>
                <w:rFonts w:ascii="Times New Roman" w:eastAsia="宋体" w:hAnsi="宋体" w:cs="宋体" w:hint="eastAsia"/>
                <w:szCs w:val="22"/>
                <w:lang w:bidi="zh-CN"/>
              </w:rPr>
              <w:t>射频电源示意图</w:t>
            </w:r>
          </w:p>
          <w:p w14:paraId="658D5AFD" w14:textId="77777777" w:rsidR="00F733B0" w:rsidRDefault="00F733B0">
            <w:pPr>
              <w:ind w:firstLineChars="200" w:firstLine="420"/>
              <w:jc w:val="center"/>
              <w:rPr>
                <w:rFonts w:ascii="Times New Roman" w:eastAsia="宋体" w:hAnsi="宋体" w:cs="宋体"/>
                <w:szCs w:val="22"/>
                <w:lang w:bidi="zh-CN"/>
              </w:rPr>
            </w:pPr>
          </w:p>
          <w:p w14:paraId="7AE89451" w14:textId="77777777" w:rsidR="00F733B0" w:rsidRDefault="00000000">
            <w:pPr>
              <w:pStyle w:val="TableParagraph"/>
              <w:rPr>
                <w:rFonts w:ascii="Times New Roman"/>
                <w:b/>
                <w:bCs/>
                <w:szCs w:val="22"/>
                <w:lang w:val="en-US"/>
              </w:rPr>
            </w:pPr>
            <w:r>
              <w:rPr>
                <w:rFonts w:ascii="Times New Roman" w:hint="eastAsia"/>
                <w:b/>
                <w:bCs/>
                <w:szCs w:val="22"/>
                <w:lang w:val="en-US"/>
              </w:rPr>
              <w:t>1.4</w:t>
            </w:r>
            <w:r>
              <w:rPr>
                <w:rFonts w:ascii="Times New Roman" w:hint="eastAsia"/>
                <w:b/>
                <w:bCs/>
                <w:szCs w:val="22"/>
                <w:lang w:val="en-US"/>
              </w:rPr>
              <w:t>静电探针诊断设计</w:t>
            </w:r>
          </w:p>
          <w:p w14:paraId="478EE3A8" w14:textId="77777777" w:rsidR="00F733B0" w:rsidRDefault="00000000">
            <w:pPr>
              <w:pStyle w:val="TableParagraph"/>
              <w:ind w:firstLineChars="200" w:firstLine="420"/>
              <w:rPr>
                <w:rFonts w:ascii="Times New Roman" w:eastAsiaTheme="minorEastAsia" w:hAnsiTheme="minorHAnsi" w:cstheme="minorBidi"/>
                <w:szCs w:val="22"/>
                <w:lang w:val="en-US" w:bidi="ar-SA"/>
              </w:rPr>
            </w:pPr>
            <w:r>
              <w:rPr>
                <w:rFonts w:ascii="Times New Roman" w:eastAsiaTheme="minorEastAsia" w:hAnsiTheme="minorHAnsi" w:cstheme="minorBidi" w:hint="eastAsia"/>
                <w:szCs w:val="22"/>
                <w:lang w:val="en-US" w:bidi="ar-SA"/>
              </w:rPr>
              <w:t>完成朗缪尔探针的结构设计、参数计算方法确定及干扰补偿方案设计。确定以细金属电极（钨丝或镍丝）为核心的探针结构以及朗缪尔探针诊断电路图如图</w:t>
            </w:r>
            <w:r>
              <w:rPr>
                <w:rFonts w:ascii="Times New Roman" w:eastAsiaTheme="minorEastAsia" w:hAnsiTheme="minorHAnsi" w:cstheme="minorBidi" w:hint="eastAsia"/>
                <w:szCs w:val="22"/>
                <w:lang w:val="en-US" w:bidi="ar-SA"/>
              </w:rPr>
              <w:t>4</w:t>
            </w:r>
            <w:r>
              <w:rPr>
                <w:rFonts w:ascii="Times New Roman" w:eastAsiaTheme="minorEastAsia" w:hAnsiTheme="minorHAnsi" w:cstheme="minorBidi" w:hint="eastAsia"/>
                <w:szCs w:val="22"/>
                <w:lang w:val="en-US" w:bidi="ar-SA"/>
              </w:rPr>
              <w:t>所示，</w:t>
            </w:r>
            <w:proofErr w:type="gramStart"/>
            <w:r>
              <w:rPr>
                <w:rFonts w:ascii="Times New Roman" w:eastAsiaTheme="minorEastAsia" w:hAnsiTheme="minorHAnsi" w:cstheme="minorBidi" w:hint="eastAsia"/>
                <w:szCs w:val="22"/>
                <w:lang w:val="en-US" w:bidi="ar-SA"/>
              </w:rPr>
              <w:t>明确通过</w:t>
            </w:r>
            <w:proofErr w:type="gramEnd"/>
            <w:r>
              <w:rPr>
                <w:rFonts w:ascii="Times New Roman" w:eastAsiaTheme="minorEastAsia" w:hAnsiTheme="minorHAnsi" w:cstheme="minorBidi" w:hint="eastAsia"/>
                <w:szCs w:val="22"/>
                <w:lang w:val="en-US" w:bidi="ar-SA"/>
              </w:rPr>
              <w:t>I</w:t>
            </w:r>
            <w:r>
              <w:rPr>
                <w:rFonts w:ascii="Times New Roman" w:eastAsiaTheme="minorEastAsia" w:hAnsiTheme="minorHAnsi" w:cstheme="minorBidi" w:hint="eastAsia"/>
                <w:szCs w:val="22"/>
                <w:lang w:val="en-US" w:bidi="ar-SA"/>
              </w:rPr>
              <w:t>–</w:t>
            </w:r>
            <w:r>
              <w:rPr>
                <w:rFonts w:ascii="Times New Roman" w:eastAsiaTheme="minorEastAsia" w:hAnsiTheme="minorHAnsi" w:cstheme="minorBidi" w:hint="eastAsia"/>
                <w:szCs w:val="22"/>
                <w:lang w:val="en-US" w:bidi="ar-SA"/>
              </w:rPr>
              <w:t>V</w:t>
            </w:r>
            <w:r>
              <w:rPr>
                <w:rFonts w:ascii="Times New Roman" w:eastAsiaTheme="minorEastAsia" w:hAnsiTheme="minorHAnsi" w:cstheme="minorBidi" w:hint="eastAsia"/>
                <w:szCs w:val="22"/>
                <w:lang w:val="en-US" w:bidi="ar-SA"/>
              </w:rPr>
              <w:t>曲线如图</w:t>
            </w:r>
            <w:r>
              <w:rPr>
                <w:rFonts w:ascii="Times New Roman" w:eastAsiaTheme="minorEastAsia" w:hAnsiTheme="minorHAnsi" w:cstheme="minorBidi" w:hint="eastAsia"/>
                <w:szCs w:val="22"/>
                <w:lang w:val="en-US" w:bidi="ar-SA"/>
              </w:rPr>
              <w:t>4</w:t>
            </w:r>
            <w:r>
              <w:rPr>
                <w:rFonts w:ascii="Times New Roman" w:eastAsiaTheme="minorEastAsia" w:hAnsiTheme="minorHAnsi" w:cstheme="minorBidi" w:hint="eastAsia"/>
                <w:szCs w:val="22"/>
                <w:lang w:val="en-US" w:bidi="ar-SA"/>
              </w:rPr>
              <w:t>所示的离子饱和区、过渡区、电子饱和区分别推导离子密度、电子温度、等离子体电位的计算逻辑。</w:t>
            </w:r>
          </w:p>
          <w:p w14:paraId="4FC0842A" w14:textId="77777777" w:rsidR="00F733B0" w:rsidRDefault="00000000">
            <w:pPr>
              <w:pStyle w:val="TableParagraph"/>
              <w:ind w:firstLineChars="200" w:firstLine="420"/>
              <w:rPr>
                <w:rFonts w:ascii="Times New Roman" w:eastAsiaTheme="minorEastAsia" w:hAnsiTheme="minorHAnsi" w:cstheme="minorBidi"/>
                <w:szCs w:val="22"/>
                <w:lang w:val="en-US" w:bidi="ar-SA"/>
              </w:rPr>
            </w:pPr>
            <w:r>
              <w:rPr>
                <w:rFonts w:ascii="Times New Roman" w:hAnsi="Times New Roman" w:hint="eastAsia"/>
              </w:rPr>
              <w:t>常用的计算方法包括指数拟合法（求电子温度）和二阶导数法（提高精度），而等离子体密度可由电子饱和电流结合玻尔兹曼关系或欧姆收集模型</w:t>
            </w:r>
            <w:r>
              <w:rPr>
                <w:rFonts w:ascii="Times New Roman" w:hAnsi="Times New Roman" w:hint="eastAsia"/>
              </w:rPr>
              <w:lastRenderedPageBreak/>
              <w:t>求得。</w:t>
            </w:r>
          </w:p>
          <w:p w14:paraId="279B1AD2" w14:textId="77777777" w:rsidR="00F733B0" w:rsidRDefault="00000000">
            <w:pPr>
              <w:pStyle w:val="TableParagraph"/>
              <w:ind w:firstLineChars="200" w:firstLine="420"/>
              <w:rPr>
                <w:rFonts w:ascii="Times New Roman" w:eastAsiaTheme="minorEastAsia" w:hAnsiTheme="minorHAnsi" w:cstheme="minorBidi"/>
                <w:szCs w:val="22"/>
                <w:lang w:val="en-US" w:bidi="ar-SA"/>
              </w:rPr>
            </w:pPr>
            <w:r>
              <w:rPr>
                <w:rFonts w:ascii="Times New Roman" w:eastAsiaTheme="minorEastAsia" w:hAnsiTheme="minorHAnsi" w:cstheme="minorBidi" w:hint="eastAsia"/>
                <w:szCs w:val="22"/>
                <w:lang w:val="en-US" w:bidi="ar-SA"/>
              </w:rPr>
              <w:t>针对射频干扰问题，设计射频补偿探针如图</w:t>
            </w:r>
            <w:r>
              <w:rPr>
                <w:rFonts w:ascii="Times New Roman" w:eastAsiaTheme="minorEastAsia" w:hAnsiTheme="minorHAnsi" w:cstheme="minorBidi" w:hint="eastAsia"/>
                <w:szCs w:val="22"/>
                <w:lang w:val="en-US" w:bidi="ar-SA"/>
              </w:rPr>
              <w:t>5</w:t>
            </w:r>
            <w:r>
              <w:rPr>
                <w:rFonts w:ascii="Times New Roman" w:eastAsiaTheme="minorEastAsia" w:hAnsiTheme="minorHAnsi" w:cstheme="minorBidi" w:hint="eastAsia"/>
                <w:szCs w:val="22"/>
                <w:lang w:val="en-US" w:bidi="ar-SA"/>
              </w:rPr>
              <w:t>所示（增加补偿电极并电容与地隔离）</w:t>
            </w:r>
            <w:r>
              <w:rPr>
                <w:rFonts w:ascii="Times New Roman" w:hAnsi="Times New Roman" w:hint="eastAsia"/>
              </w:rPr>
              <w:t>实时消除射频波动对测量信号的影响。此外，可使用双探针结构（</w:t>
            </w:r>
            <w:r>
              <w:rPr>
                <w:rFonts w:ascii="Times New Roman" w:hAnsi="Times New Roman" w:hint="eastAsia"/>
              </w:rPr>
              <w:t>Two-probe method</w:t>
            </w:r>
            <w:r>
              <w:rPr>
                <w:rFonts w:ascii="Times New Roman" w:hAnsi="Times New Roman" w:hint="eastAsia"/>
              </w:rPr>
              <w:t>）在无参考地条件下测量低温等离子体参数，进一步减小电磁干扰，</w:t>
            </w:r>
            <w:r>
              <w:rPr>
                <w:rFonts w:ascii="Times New Roman" w:eastAsiaTheme="minorEastAsia" w:hAnsiTheme="minorHAnsi" w:cstheme="minorBidi" w:hint="eastAsia"/>
                <w:szCs w:val="22"/>
                <w:lang w:val="en-US" w:bidi="ar-SA"/>
              </w:rPr>
              <w:t>满足不同测量环境需求。</w:t>
            </w:r>
          </w:p>
          <w:p w14:paraId="0460C2C9" w14:textId="77777777" w:rsidR="00F733B0" w:rsidRDefault="00000000">
            <w:pPr>
              <w:pStyle w:val="TableParagraph"/>
              <w:ind w:firstLineChars="200" w:firstLine="420"/>
              <w:rPr>
                <w:rFonts w:ascii="Times New Roman" w:eastAsiaTheme="minorEastAsia" w:hAnsiTheme="minorHAnsi" w:cstheme="minorBidi"/>
                <w:szCs w:val="22"/>
                <w:lang w:val="en-US" w:bidi="ar-SA"/>
              </w:rPr>
            </w:pPr>
            <w:r>
              <w:rPr>
                <w:noProof/>
              </w:rPr>
              <w:drawing>
                <wp:anchor distT="0" distB="0" distL="114300" distR="114300" simplePos="0" relativeHeight="251662336" behindDoc="0" locked="0" layoutInCell="1" allowOverlap="1" wp14:anchorId="572642C9" wp14:editId="71DCEE83">
                  <wp:simplePos x="0" y="0"/>
                  <wp:positionH relativeFrom="column">
                    <wp:posOffset>329565</wp:posOffset>
                  </wp:positionH>
                  <wp:positionV relativeFrom="paragraph">
                    <wp:posOffset>126365</wp:posOffset>
                  </wp:positionV>
                  <wp:extent cx="1663700" cy="2108835"/>
                  <wp:effectExtent l="0" t="0" r="12700" b="5715"/>
                  <wp:wrapTopAndBottom/>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8"/>
                          <a:stretch>
                            <a:fillRect/>
                          </a:stretch>
                        </pic:blipFill>
                        <pic:spPr>
                          <a:xfrm>
                            <a:off x="0" y="0"/>
                            <a:ext cx="1663700" cy="2108835"/>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43B6FB18" wp14:editId="5DCBA9F3">
                  <wp:simplePos x="0" y="0"/>
                  <wp:positionH relativeFrom="column">
                    <wp:posOffset>2260600</wp:posOffset>
                  </wp:positionH>
                  <wp:positionV relativeFrom="paragraph">
                    <wp:posOffset>254635</wp:posOffset>
                  </wp:positionV>
                  <wp:extent cx="1893570" cy="1899285"/>
                  <wp:effectExtent l="0" t="0" r="11430" b="5715"/>
                  <wp:wrapTopAndBottom/>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9"/>
                          <a:stretch>
                            <a:fillRect/>
                          </a:stretch>
                        </pic:blipFill>
                        <pic:spPr>
                          <a:xfrm>
                            <a:off x="0" y="0"/>
                            <a:ext cx="1893570" cy="1899285"/>
                          </a:xfrm>
                          <a:prstGeom prst="rect">
                            <a:avLst/>
                          </a:prstGeom>
                          <a:noFill/>
                          <a:ln>
                            <a:noFill/>
                          </a:ln>
                        </pic:spPr>
                      </pic:pic>
                    </a:graphicData>
                  </a:graphic>
                </wp:anchor>
              </w:drawing>
            </w:r>
            <w:r>
              <w:rPr>
                <w:rFonts w:ascii="Times New Roman" w:hint="eastAsia"/>
                <w:szCs w:val="22"/>
                <w:lang w:val="en-US"/>
              </w:rPr>
              <w:t>图</w:t>
            </w:r>
            <w:r>
              <w:rPr>
                <w:rFonts w:ascii="Times New Roman" w:hint="eastAsia"/>
                <w:szCs w:val="22"/>
                <w:lang w:val="en-US"/>
              </w:rPr>
              <w:t xml:space="preserve">5 </w:t>
            </w:r>
            <w:r>
              <w:rPr>
                <w:rFonts w:ascii="Times New Roman" w:hint="eastAsia"/>
                <w:szCs w:val="22"/>
                <w:lang w:val="en-US"/>
              </w:rPr>
              <w:t>朗缪尔探针诊断电路图（左）；朗缪尔探针</w:t>
            </w:r>
            <w:r>
              <w:rPr>
                <w:rFonts w:ascii="Times New Roman" w:hint="eastAsia"/>
                <w:szCs w:val="22"/>
                <w:lang w:val="en-US"/>
              </w:rPr>
              <w:t>I</w:t>
            </w:r>
            <w:r>
              <w:rPr>
                <w:rFonts w:ascii="Times New Roman" w:hint="eastAsia"/>
                <w:szCs w:val="22"/>
                <w:lang w:val="en-US"/>
              </w:rPr>
              <w:t>–</w:t>
            </w:r>
            <w:r>
              <w:rPr>
                <w:rFonts w:ascii="Times New Roman" w:hint="eastAsia"/>
                <w:szCs w:val="22"/>
                <w:lang w:val="en-US"/>
              </w:rPr>
              <w:t>V</w:t>
            </w:r>
            <w:r>
              <w:rPr>
                <w:rFonts w:ascii="Times New Roman" w:hint="eastAsia"/>
                <w:szCs w:val="22"/>
                <w:lang w:val="en-US"/>
              </w:rPr>
              <w:t>特性曲线（右）</w:t>
            </w:r>
          </w:p>
          <w:p w14:paraId="0F1D39FE" w14:textId="77777777" w:rsidR="00F733B0" w:rsidRDefault="00000000">
            <w:pPr>
              <w:pStyle w:val="TableParagraph"/>
              <w:rPr>
                <w:rFonts w:ascii="Times New Roman" w:eastAsiaTheme="minorEastAsia" w:hAnsiTheme="minorHAnsi" w:cstheme="minorBidi"/>
                <w:szCs w:val="22"/>
                <w:lang w:val="en-US" w:bidi="ar-SA"/>
              </w:rPr>
            </w:pPr>
            <w:r>
              <w:rPr>
                <w:noProof/>
              </w:rPr>
              <w:drawing>
                <wp:anchor distT="0" distB="0" distL="114300" distR="114300" simplePos="0" relativeHeight="251664384" behindDoc="0" locked="0" layoutInCell="1" allowOverlap="1" wp14:anchorId="6943AE22" wp14:editId="647C4CE7">
                  <wp:simplePos x="0" y="0"/>
                  <wp:positionH relativeFrom="column">
                    <wp:posOffset>490855</wp:posOffset>
                  </wp:positionH>
                  <wp:positionV relativeFrom="paragraph">
                    <wp:posOffset>141605</wp:posOffset>
                  </wp:positionV>
                  <wp:extent cx="3282315" cy="1005205"/>
                  <wp:effectExtent l="0" t="0" r="13335" b="4445"/>
                  <wp:wrapTopAndBottom/>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0"/>
                          <a:srcRect r="6715" b="49194"/>
                          <a:stretch>
                            <a:fillRect/>
                          </a:stretch>
                        </pic:blipFill>
                        <pic:spPr>
                          <a:xfrm>
                            <a:off x="0" y="0"/>
                            <a:ext cx="3282315" cy="1005205"/>
                          </a:xfrm>
                          <a:prstGeom prst="rect">
                            <a:avLst/>
                          </a:prstGeom>
                          <a:noFill/>
                          <a:ln>
                            <a:noFill/>
                          </a:ln>
                        </pic:spPr>
                      </pic:pic>
                    </a:graphicData>
                  </a:graphic>
                </wp:anchor>
              </w:drawing>
            </w:r>
          </w:p>
          <w:p w14:paraId="6F4675C0" w14:textId="77777777" w:rsidR="00F733B0" w:rsidRDefault="00000000">
            <w:pPr>
              <w:ind w:firstLineChars="200" w:firstLine="420"/>
              <w:jc w:val="center"/>
              <w:rPr>
                <w:rFonts w:ascii="Times New Roman" w:eastAsia="宋体" w:hAnsi="宋体" w:cs="宋体"/>
                <w:szCs w:val="22"/>
                <w:lang w:bidi="zh-CN"/>
              </w:rPr>
            </w:pPr>
            <w:r>
              <w:rPr>
                <w:rFonts w:ascii="Times New Roman" w:eastAsia="宋体" w:hAnsi="宋体" w:cs="宋体" w:hint="eastAsia"/>
                <w:szCs w:val="22"/>
                <w:lang w:bidi="zh-CN"/>
              </w:rPr>
              <w:t>图</w:t>
            </w:r>
            <w:r>
              <w:rPr>
                <w:rFonts w:ascii="Times New Roman" w:eastAsia="宋体" w:hAnsi="宋体" w:cs="宋体" w:hint="eastAsia"/>
                <w:szCs w:val="22"/>
                <w:lang w:bidi="zh-CN"/>
              </w:rPr>
              <w:t xml:space="preserve">6 </w:t>
            </w:r>
            <w:r>
              <w:rPr>
                <w:rFonts w:ascii="Times New Roman" w:eastAsia="宋体" w:hAnsi="宋体" w:cs="宋体" w:hint="eastAsia"/>
                <w:szCs w:val="22"/>
                <w:lang w:bidi="zh-CN"/>
              </w:rPr>
              <w:t>射频补偿探针</w:t>
            </w:r>
          </w:p>
          <w:p w14:paraId="7D203497" w14:textId="77777777" w:rsidR="00F733B0" w:rsidRDefault="00F733B0">
            <w:pPr>
              <w:pStyle w:val="TableParagraph"/>
              <w:ind w:firstLineChars="200" w:firstLine="420"/>
              <w:rPr>
                <w:rFonts w:ascii="Times New Roman" w:eastAsiaTheme="minorEastAsia" w:hAnsiTheme="minorHAnsi" w:cstheme="minorBidi"/>
                <w:szCs w:val="22"/>
                <w:lang w:val="en-US" w:bidi="ar-SA"/>
              </w:rPr>
            </w:pPr>
          </w:p>
          <w:p w14:paraId="578E9025" w14:textId="77777777" w:rsidR="00F733B0" w:rsidRDefault="00F733B0">
            <w:pPr>
              <w:pStyle w:val="TableParagraph"/>
              <w:rPr>
                <w:rFonts w:ascii="Times New Roman"/>
                <w:szCs w:val="22"/>
                <w:lang w:val="en-US"/>
              </w:rPr>
            </w:pPr>
          </w:p>
        </w:tc>
      </w:tr>
      <w:tr w:rsidR="00F733B0" w14:paraId="62289097" w14:textId="77777777">
        <w:trPr>
          <w:trHeight w:val="4656"/>
        </w:trPr>
        <w:tc>
          <w:tcPr>
            <w:tcW w:w="1404" w:type="dxa"/>
            <w:tcBorders>
              <w:top w:val="single" w:sz="6" w:space="0" w:color="000000"/>
              <w:bottom w:val="single" w:sz="6" w:space="0" w:color="000000"/>
              <w:right w:val="single" w:sz="6" w:space="0" w:color="000000"/>
            </w:tcBorders>
            <w:vAlign w:val="center"/>
          </w:tcPr>
          <w:p w14:paraId="1EE03058" w14:textId="77777777" w:rsidR="00F733B0" w:rsidRDefault="00F733B0">
            <w:pPr>
              <w:pStyle w:val="TableParagraph"/>
              <w:rPr>
                <w:b/>
                <w:sz w:val="20"/>
              </w:rPr>
            </w:pPr>
          </w:p>
        </w:tc>
        <w:tc>
          <w:tcPr>
            <w:tcW w:w="6822" w:type="dxa"/>
            <w:gridSpan w:val="5"/>
            <w:tcBorders>
              <w:top w:val="single" w:sz="6" w:space="0" w:color="000000"/>
              <w:left w:val="single" w:sz="6" w:space="0" w:color="000000"/>
              <w:bottom w:val="single" w:sz="6" w:space="0" w:color="000000"/>
            </w:tcBorders>
          </w:tcPr>
          <w:p w14:paraId="19AB54CC" w14:textId="77777777" w:rsidR="00F733B0" w:rsidRDefault="00000000">
            <w:pPr>
              <w:pStyle w:val="TableParagraph"/>
              <w:jc w:val="center"/>
              <w:rPr>
                <w:rFonts w:ascii="Times New Roman"/>
                <w:b/>
                <w:bCs/>
                <w:sz w:val="24"/>
                <w:szCs w:val="28"/>
                <w:lang w:val="en-US"/>
              </w:rPr>
            </w:pPr>
            <w:r>
              <w:rPr>
                <w:rFonts w:ascii="Times New Roman" w:hint="eastAsia"/>
                <w:b/>
                <w:bCs/>
                <w:sz w:val="24"/>
                <w:szCs w:val="28"/>
                <w:lang w:val="en-US"/>
              </w:rPr>
              <w:t>2</w:t>
            </w:r>
            <w:r>
              <w:rPr>
                <w:rFonts w:ascii="Times New Roman" w:hint="eastAsia"/>
                <w:b/>
                <w:bCs/>
                <w:sz w:val="24"/>
                <w:szCs w:val="28"/>
                <w:lang w:val="en-US"/>
              </w:rPr>
              <w:t>、螺旋波等离子体源的测试计划</w:t>
            </w:r>
          </w:p>
          <w:p w14:paraId="5CE0CBC2" w14:textId="77777777" w:rsidR="00F733B0" w:rsidRDefault="00000000">
            <w:pPr>
              <w:ind w:firstLineChars="200" w:firstLine="420"/>
              <w:rPr>
                <w:rFonts w:ascii="Times New Roman"/>
                <w:szCs w:val="22"/>
              </w:rPr>
            </w:pPr>
            <w:r>
              <w:rPr>
                <w:rFonts w:ascii="Times New Roman" w:hint="eastAsia"/>
                <w:szCs w:val="22"/>
              </w:rPr>
              <w:t>测试系统构成了一个复杂的诊断平台。</w:t>
            </w:r>
            <w:r>
              <w:rPr>
                <w:rFonts w:ascii="Times New Roman" w:hAnsi="Times New Roman"/>
              </w:rPr>
              <w:t>螺旋波等离子体的性能主要通过以下关键物理量来表征，这些参数不仅反映放电状态，也直接决定装置的能量耦合效率与应用效果</w:t>
            </w:r>
            <w:r>
              <w:rPr>
                <w:rFonts w:ascii="Times New Roman" w:hint="eastAsia"/>
                <w:szCs w:val="22"/>
              </w:rPr>
              <w:t>。</w:t>
            </w:r>
          </w:p>
          <w:p w14:paraId="36F5AD6A" w14:textId="77777777" w:rsidR="00F733B0" w:rsidRDefault="00000000">
            <w:pPr>
              <w:pStyle w:val="TableParagraph"/>
              <w:rPr>
                <w:rFonts w:ascii="Times New Roman"/>
                <w:b/>
                <w:bCs/>
                <w:szCs w:val="22"/>
                <w:lang w:val="en-US"/>
              </w:rPr>
            </w:pPr>
            <w:r>
              <w:rPr>
                <w:rFonts w:ascii="Times New Roman" w:hint="eastAsia"/>
                <w:b/>
                <w:bCs/>
                <w:szCs w:val="22"/>
                <w:lang w:val="en-US"/>
              </w:rPr>
              <w:t>1.1</w:t>
            </w:r>
            <w:r>
              <w:rPr>
                <w:rFonts w:ascii="Times New Roman" w:hint="eastAsia"/>
                <w:b/>
                <w:bCs/>
                <w:szCs w:val="22"/>
                <w:lang w:val="en-US"/>
              </w:rPr>
              <w:t>等离子体密度</w:t>
            </w:r>
            <w:r>
              <w:rPr>
                <w:rFonts w:ascii="Times New Roman" w:hint="eastAsia"/>
                <w:b/>
                <w:bCs/>
                <w:szCs w:val="22"/>
                <w:lang w:val="en-US"/>
              </w:rPr>
              <w:t>(n</w:t>
            </w:r>
            <w:r>
              <w:rPr>
                <w:rFonts w:ascii="Times New Roman" w:hint="eastAsia"/>
                <w:b/>
                <w:bCs/>
                <w:szCs w:val="22"/>
                <w:lang w:val="en-US"/>
              </w:rPr>
              <w:t>ₑ</w:t>
            </w:r>
            <w:r>
              <w:rPr>
                <w:rFonts w:ascii="Times New Roman" w:hint="eastAsia"/>
                <w:b/>
                <w:bCs/>
                <w:szCs w:val="22"/>
                <w:lang w:val="en-US"/>
              </w:rPr>
              <w:t>)</w:t>
            </w:r>
          </w:p>
          <w:p w14:paraId="0A0A907B" w14:textId="77777777" w:rsidR="00F733B0" w:rsidRDefault="00000000">
            <w:pPr>
              <w:ind w:firstLineChars="200" w:firstLine="420"/>
              <w:rPr>
                <w:rFonts w:ascii="Times New Roman" w:hAnsi="Times New Roman"/>
              </w:rPr>
            </w:pPr>
            <w:r>
              <w:rPr>
                <w:rFonts w:ascii="Times New Roman" w:hAnsi="Times New Roman" w:hint="eastAsia"/>
              </w:rPr>
              <w:t>等离子体密度</w:t>
            </w:r>
            <w:r>
              <w:rPr>
                <w:rFonts w:ascii="Times New Roman" w:hAnsi="Times New Roman" w:hint="eastAsia"/>
              </w:rPr>
              <w:t>(n</w:t>
            </w:r>
            <w:r>
              <w:rPr>
                <w:rFonts w:ascii="Times New Roman" w:hAnsi="Times New Roman" w:hint="eastAsia"/>
              </w:rPr>
              <w:t>ₑ</w:t>
            </w:r>
            <w:r>
              <w:rPr>
                <w:rFonts w:ascii="Times New Roman" w:hAnsi="Times New Roman" w:hint="eastAsia"/>
              </w:rPr>
              <w:t>)</w:t>
            </w:r>
            <w:r>
              <w:rPr>
                <w:rFonts w:ascii="Times New Roman" w:hAnsi="Times New Roman"/>
              </w:rPr>
              <w:t>：</w:t>
            </w:r>
            <w:r>
              <w:rPr>
                <w:rFonts w:ascii="Times New Roman" w:hAnsi="Times New Roman" w:hint="eastAsia"/>
              </w:rPr>
              <w:t>表示单位体积内的电子数，是衡量放电强度与离化程度的核心指标。螺旋波放电通常可达</w:t>
            </w:r>
            <w:r>
              <w:rPr>
                <w:rFonts w:ascii="Times New Roman" w:hAnsi="Times New Roman"/>
              </w:rPr>
              <w:t xml:space="preserve"> 10¹⁷–10¹⁹ m⁻³</w:t>
            </w:r>
            <w:r>
              <w:rPr>
                <w:rFonts w:ascii="Times New Roman" w:hAnsi="Times New Roman" w:hint="eastAsia"/>
              </w:rPr>
              <w:t>，比感应耦合放电高一个数量级。密度越高，等离子体的导电性和反应速率越强，对推进性能或刻蚀速率提升具有决定作用。</w:t>
            </w:r>
          </w:p>
          <w:p w14:paraId="52557169" w14:textId="77777777" w:rsidR="00F733B0" w:rsidRDefault="00000000">
            <w:pPr>
              <w:pStyle w:val="TableParagraph"/>
              <w:rPr>
                <w:rFonts w:ascii="Times New Roman"/>
                <w:b/>
                <w:bCs/>
                <w:szCs w:val="22"/>
                <w:lang w:val="en-US"/>
              </w:rPr>
            </w:pPr>
            <w:r>
              <w:rPr>
                <w:rFonts w:ascii="Times New Roman" w:hint="eastAsia"/>
                <w:b/>
                <w:bCs/>
                <w:szCs w:val="22"/>
                <w:lang w:val="en-US"/>
              </w:rPr>
              <w:t>1.2</w:t>
            </w:r>
            <w:proofErr w:type="gramStart"/>
            <w:r>
              <w:rPr>
                <w:rFonts w:ascii="Times New Roman" w:hint="eastAsia"/>
                <w:b/>
                <w:bCs/>
                <w:szCs w:val="22"/>
                <w:lang w:val="en-US"/>
              </w:rPr>
              <w:t>电子温度</w:t>
            </w:r>
            <w:r>
              <w:rPr>
                <w:rFonts w:ascii="Times New Roman" w:hint="eastAsia"/>
                <w:b/>
                <w:bCs/>
                <w:szCs w:val="22"/>
                <w:lang w:val="en-US"/>
              </w:rPr>
              <w:t>(</w:t>
            </w:r>
            <w:proofErr w:type="gramEnd"/>
            <w:r>
              <w:rPr>
                <w:rFonts w:ascii="Times New Roman" w:hint="eastAsia"/>
                <w:b/>
                <w:bCs/>
                <w:szCs w:val="22"/>
                <w:lang w:val="en-US"/>
              </w:rPr>
              <w:t>T</w:t>
            </w:r>
            <w:r>
              <w:rPr>
                <w:rFonts w:ascii="Times New Roman" w:hint="eastAsia"/>
                <w:b/>
                <w:bCs/>
                <w:szCs w:val="22"/>
                <w:lang w:val="en-US"/>
              </w:rPr>
              <w:t>ₑ</w:t>
            </w:r>
            <w:r>
              <w:rPr>
                <w:rFonts w:ascii="Times New Roman" w:hint="eastAsia"/>
                <w:b/>
                <w:bCs/>
                <w:szCs w:val="22"/>
                <w:lang w:val="en-US"/>
              </w:rPr>
              <w:t>)</w:t>
            </w:r>
          </w:p>
          <w:p w14:paraId="32ECA1DC" w14:textId="77777777" w:rsidR="00F733B0" w:rsidRDefault="00000000">
            <w:pPr>
              <w:ind w:firstLineChars="200" w:firstLine="420"/>
              <w:rPr>
                <w:rFonts w:ascii="Times New Roman" w:hAnsi="Times New Roman"/>
              </w:rPr>
            </w:pPr>
            <w:r>
              <w:rPr>
                <w:rFonts w:ascii="Times New Roman" w:hAnsi="Times New Roman"/>
              </w:rPr>
              <w:t>电子温度</w:t>
            </w:r>
            <w:r>
              <w:rPr>
                <w:rFonts w:ascii="Times New Roman" w:hAnsi="Times New Roman" w:hint="eastAsia"/>
              </w:rPr>
              <w:t>(T</w:t>
            </w:r>
            <w:r>
              <w:rPr>
                <w:rFonts w:ascii="Times New Roman" w:hAnsi="Times New Roman"/>
              </w:rPr>
              <w:t>ₑ</w:t>
            </w:r>
            <w:r>
              <w:rPr>
                <w:rFonts w:ascii="Times New Roman" w:hAnsi="Times New Roman" w:hint="eastAsia"/>
              </w:rPr>
              <w:t>)</w:t>
            </w:r>
            <w:r>
              <w:rPr>
                <w:rFonts w:ascii="Times New Roman" w:hAnsi="Times New Roman"/>
              </w:rPr>
              <w:t>：</w:t>
            </w:r>
            <w:r>
              <w:rPr>
                <w:rFonts w:ascii="Times New Roman" w:hAnsi="Times New Roman" w:hint="eastAsia"/>
              </w:rPr>
              <w:t>反映电子平均能量水平，通常为</w:t>
            </w:r>
            <w:r>
              <w:rPr>
                <w:rFonts w:ascii="Times New Roman" w:hAnsi="Times New Roman" w:hint="eastAsia"/>
              </w:rPr>
              <w:t xml:space="preserve"> 2</w:t>
            </w:r>
            <w:r>
              <w:rPr>
                <w:rFonts w:ascii="Times New Roman" w:hAnsi="Times New Roman" w:hint="eastAsia"/>
              </w:rPr>
              <w:t>–</w:t>
            </w:r>
            <w:r>
              <w:rPr>
                <w:rFonts w:ascii="Times New Roman" w:hAnsi="Times New Roman" w:hint="eastAsia"/>
              </w:rPr>
              <w:t>10 eV</w:t>
            </w:r>
            <w:r>
              <w:rPr>
                <w:rFonts w:ascii="Times New Roman" w:hAnsi="Times New Roman" w:hint="eastAsia"/>
              </w:rPr>
              <w:t>。它决定了电子对中性粒子的碰撞电离能力，并影响放电的维持功率。较高的电子温度有利于维持放电，但过高会引起壁面溅射与能量损失。</w:t>
            </w:r>
          </w:p>
          <w:p w14:paraId="3B0A5129" w14:textId="77777777" w:rsidR="00F733B0" w:rsidRDefault="00000000">
            <w:pPr>
              <w:pStyle w:val="TableParagraph"/>
              <w:rPr>
                <w:rFonts w:ascii="Times New Roman"/>
                <w:b/>
                <w:bCs/>
                <w:szCs w:val="22"/>
                <w:lang w:val="en-US"/>
              </w:rPr>
            </w:pPr>
            <w:r>
              <w:rPr>
                <w:rFonts w:ascii="Times New Roman" w:hint="eastAsia"/>
                <w:b/>
                <w:bCs/>
                <w:szCs w:val="22"/>
                <w:lang w:val="en-US"/>
              </w:rPr>
              <w:t>1.3</w:t>
            </w:r>
            <w:proofErr w:type="gramStart"/>
            <w:r>
              <w:rPr>
                <w:rFonts w:ascii="Times New Roman" w:hint="eastAsia"/>
                <w:b/>
                <w:bCs/>
                <w:szCs w:val="22"/>
                <w:lang w:val="en-US"/>
              </w:rPr>
              <w:t>等离子体电位</w:t>
            </w:r>
            <w:r>
              <w:rPr>
                <w:rFonts w:ascii="Times New Roman" w:hint="eastAsia"/>
                <w:b/>
                <w:bCs/>
                <w:szCs w:val="22"/>
                <w:lang w:val="en-US"/>
              </w:rPr>
              <w:t>(</w:t>
            </w:r>
            <w:proofErr w:type="spellStart"/>
            <w:proofErr w:type="gramEnd"/>
            <w:r>
              <w:rPr>
                <w:rFonts w:ascii="Times New Roman" w:hint="eastAsia"/>
                <w:b/>
                <w:bCs/>
                <w:szCs w:val="22"/>
                <w:lang w:val="en-US"/>
              </w:rPr>
              <w:t>Vp</w:t>
            </w:r>
            <w:proofErr w:type="spellEnd"/>
            <w:r>
              <w:rPr>
                <w:rFonts w:ascii="Times New Roman" w:hint="eastAsia"/>
                <w:b/>
                <w:bCs/>
                <w:szCs w:val="22"/>
                <w:lang w:val="en-US"/>
              </w:rPr>
              <w:t>)</w:t>
            </w:r>
          </w:p>
          <w:p w14:paraId="15D85C60" w14:textId="77777777" w:rsidR="00F733B0" w:rsidRDefault="00000000">
            <w:pPr>
              <w:ind w:firstLineChars="200" w:firstLine="420"/>
              <w:rPr>
                <w:rFonts w:ascii="Times New Roman" w:hAnsi="Times New Roman"/>
              </w:rPr>
            </w:pPr>
            <w:r>
              <w:rPr>
                <w:rFonts w:ascii="Times New Roman" w:hAnsi="Times New Roman"/>
              </w:rPr>
              <w:t>等离子体电位</w:t>
            </w:r>
            <w:r>
              <w:rPr>
                <w:rFonts w:ascii="Times New Roman" w:hAnsi="Times New Roman" w:hint="eastAsia"/>
              </w:rPr>
              <w:t>(</w:t>
            </w:r>
            <w:proofErr w:type="spellStart"/>
            <w:r>
              <w:rPr>
                <w:rFonts w:ascii="Times New Roman" w:hAnsi="Times New Roman" w:hint="eastAsia"/>
              </w:rPr>
              <w:t>V</w:t>
            </w:r>
            <w:r>
              <w:rPr>
                <w:rFonts w:ascii="Times New Roman" w:hAnsi="Times New Roman" w:hint="eastAsia"/>
                <w:vertAlign w:val="subscript"/>
              </w:rPr>
              <w:t>p</w:t>
            </w:r>
            <w:proofErr w:type="spellEnd"/>
            <w:r>
              <w:rPr>
                <w:rFonts w:ascii="Times New Roman" w:hAnsi="Times New Roman" w:hint="eastAsia"/>
              </w:rPr>
              <w:t>)</w:t>
            </w:r>
            <w:r>
              <w:rPr>
                <w:rFonts w:ascii="Times New Roman" w:hAnsi="Times New Roman"/>
              </w:rPr>
              <w:t>：</w:t>
            </w:r>
            <w:r>
              <w:rPr>
                <w:rFonts w:ascii="Times New Roman" w:hAnsi="Times New Roman" w:hint="eastAsia"/>
              </w:rPr>
              <w:t>为等离子体相对于腔体壁的电势差，决定离子的加速能量。较高的电位可增强离子轰击，但若过大可能导致电极侵蚀与能量分布不均。监测电位有助于分析离子能谱</w:t>
            </w:r>
            <w:proofErr w:type="gramStart"/>
            <w:r>
              <w:rPr>
                <w:rFonts w:ascii="Times New Roman" w:hAnsi="Times New Roman" w:hint="eastAsia"/>
              </w:rPr>
              <w:t>与鞘层结构</w:t>
            </w:r>
            <w:proofErr w:type="gramEnd"/>
            <w:r>
              <w:rPr>
                <w:rFonts w:ascii="Times New Roman" w:hAnsi="Times New Roman" w:hint="eastAsia"/>
              </w:rPr>
              <w:t>。</w:t>
            </w:r>
          </w:p>
          <w:p w14:paraId="285C977B" w14:textId="77777777" w:rsidR="00F733B0" w:rsidRDefault="00000000">
            <w:pPr>
              <w:pStyle w:val="TableParagraph"/>
              <w:rPr>
                <w:rFonts w:ascii="Times New Roman"/>
                <w:b/>
                <w:bCs/>
                <w:szCs w:val="22"/>
                <w:lang w:val="en-US"/>
              </w:rPr>
            </w:pPr>
            <w:r>
              <w:rPr>
                <w:rFonts w:ascii="Times New Roman" w:hint="eastAsia"/>
                <w:b/>
                <w:bCs/>
                <w:szCs w:val="22"/>
                <w:lang w:val="en-US"/>
              </w:rPr>
              <w:lastRenderedPageBreak/>
              <w:t>1.4</w:t>
            </w:r>
            <w:r>
              <w:rPr>
                <w:rFonts w:ascii="Times New Roman" w:hint="eastAsia"/>
                <w:b/>
                <w:bCs/>
                <w:szCs w:val="22"/>
                <w:lang w:val="en-US"/>
              </w:rPr>
              <w:t>功率耦合效率</w:t>
            </w:r>
            <w:r>
              <w:rPr>
                <w:rFonts w:ascii="Times New Roman" w:hint="eastAsia"/>
                <w:b/>
                <w:bCs/>
                <w:szCs w:val="22"/>
                <w:lang w:val="en-US"/>
              </w:rPr>
              <w:t>(</w:t>
            </w:r>
            <w:r>
              <w:rPr>
                <w:rFonts w:ascii="Times New Roman" w:hint="eastAsia"/>
                <w:b/>
                <w:bCs/>
                <w:szCs w:val="22"/>
                <w:lang w:val="en-US"/>
              </w:rPr>
              <w:t>η</w:t>
            </w:r>
            <w:r>
              <w:rPr>
                <w:rFonts w:ascii="Times New Roman" w:hint="eastAsia"/>
                <w:b/>
                <w:bCs/>
                <w:szCs w:val="22"/>
                <w:lang w:val="en-US"/>
              </w:rPr>
              <w:t>)</w:t>
            </w:r>
          </w:p>
          <w:p w14:paraId="032C23E7" w14:textId="77777777" w:rsidR="00F733B0" w:rsidRDefault="00000000">
            <w:pPr>
              <w:ind w:firstLineChars="200" w:firstLine="420"/>
              <w:rPr>
                <w:rFonts w:ascii="Times New Roman" w:hAnsi="Times New Roman"/>
              </w:rPr>
            </w:pPr>
            <w:r>
              <w:rPr>
                <w:rFonts w:ascii="Times New Roman" w:hAnsi="Times New Roman"/>
              </w:rPr>
              <w:t>功率耦合效率</w:t>
            </w:r>
            <w:r>
              <w:rPr>
                <w:rFonts w:ascii="Times New Roman" w:hAnsi="Times New Roman" w:hint="eastAsia"/>
              </w:rPr>
              <w:t>(</w:t>
            </w:r>
            <w:r>
              <w:rPr>
                <w:rFonts w:ascii="Times New Roman" w:hAnsi="Times New Roman"/>
              </w:rPr>
              <w:t>η</w:t>
            </w:r>
            <w:r>
              <w:rPr>
                <w:rFonts w:ascii="Times New Roman" w:hAnsi="Times New Roman" w:hint="eastAsia"/>
              </w:rPr>
              <w:t>)</w:t>
            </w:r>
            <w:r>
              <w:rPr>
                <w:rFonts w:ascii="Times New Roman" w:hAnsi="Times New Roman"/>
              </w:rPr>
              <w:t>：</w:t>
            </w:r>
            <w:r>
              <w:rPr>
                <w:rFonts w:ascii="Times New Roman" w:hAnsi="Times New Roman" w:hint="eastAsia"/>
              </w:rPr>
              <w:t>指射频电源输入功率中，实际用于维持等离子体的有效部分。该指标综合反映了天线、匹配网络与等离子体负载之间的阻抗匹配质量。</w:t>
            </w:r>
          </w:p>
          <w:p w14:paraId="4F69FCB4" w14:textId="77777777" w:rsidR="00F733B0" w:rsidRDefault="00000000">
            <w:pPr>
              <w:pStyle w:val="TableParagraph"/>
              <w:rPr>
                <w:rFonts w:ascii="Times New Roman"/>
                <w:b/>
                <w:bCs/>
                <w:szCs w:val="22"/>
                <w:lang w:val="en-US"/>
              </w:rPr>
            </w:pPr>
            <w:r>
              <w:rPr>
                <w:rFonts w:ascii="Times New Roman" w:hint="eastAsia"/>
                <w:b/>
                <w:bCs/>
                <w:szCs w:val="22"/>
                <w:lang w:val="en-US"/>
              </w:rPr>
              <w:t>1.5</w:t>
            </w:r>
            <w:r>
              <w:rPr>
                <w:rFonts w:ascii="Times New Roman" w:hint="eastAsia"/>
                <w:b/>
                <w:bCs/>
                <w:szCs w:val="22"/>
                <w:lang w:val="en-US"/>
              </w:rPr>
              <w:t>等离子体均匀性</w:t>
            </w:r>
          </w:p>
          <w:p w14:paraId="3010708B" w14:textId="77777777" w:rsidR="00F733B0" w:rsidRDefault="00000000">
            <w:pPr>
              <w:ind w:firstLineChars="200" w:firstLine="420"/>
              <w:rPr>
                <w:rFonts w:ascii="Times New Roman"/>
                <w:szCs w:val="22"/>
              </w:rPr>
            </w:pPr>
            <w:r>
              <w:rPr>
                <w:rFonts w:ascii="Times New Roman" w:hAnsi="Times New Roman"/>
              </w:rPr>
              <w:t>等离子体均匀性：</w:t>
            </w:r>
            <w:r>
              <w:rPr>
                <w:rFonts w:ascii="Times New Roman" w:hAnsi="Times New Roman" w:hint="eastAsia"/>
              </w:rPr>
              <w:t>描述密度或温度在径向与轴向的分布均匀程度。良好的均匀性有助于保持放电稳定性与加工一致性。其测量通常依赖多点探针阵列或光谱成像诊断，通过比较不同位置的密度偏差</w:t>
            </w:r>
            <w:r>
              <w:rPr>
                <w:rFonts w:ascii="Times New Roman" w:hAnsi="Times New Roman"/>
              </w:rPr>
              <w:t>来定量评估。</w:t>
            </w:r>
          </w:p>
          <w:p w14:paraId="01BA453D" w14:textId="77777777" w:rsidR="00F733B0" w:rsidRDefault="00F733B0">
            <w:pPr>
              <w:ind w:firstLineChars="200" w:firstLine="420"/>
              <w:rPr>
                <w:rFonts w:ascii="Times New Roman"/>
                <w:szCs w:val="22"/>
              </w:rPr>
            </w:pPr>
          </w:p>
          <w:p w14:paraId="61FEE63D" w14:textId="77777777" w:rsidR="00F733B0" w:rsidRDefault="00F733B0">
            <w:pPr>
              <w:pStyle w:val="TableParagraph"/>
              <w:jc w:val="center"/>
              <w:rPr>
                <w:rFonts w:ascii="Times New Roman"/>
                <w:b/>
                <w:bCs/>
                <w:sz w:val="24"/>
                <w:szCs w:val="28"/>
                <w:lang w:val="en-US"/>
              </w:rPr>
            </w:pPr>
          </w:p>
          <w:p w14:paraId="0AD38B08" w14:textId="77777777" w:rsidR="00F733B0" w:rsidRDefault="00F733B0">
            <w:pPr>
              <w:pStyle w:val="TableParagraph"/>
              <w:rPr>
                <w:rFonts w:ascii="Times New Roman"/>
                <w:b/>
                <w:bCs/>
                <w:szCs w:val="22"/>
                <w:lang w:val="en-US"/>
              </w:rPr>
            </w:pPr>
          </w:p>
          <w:p w14:paraId="7089665A" w14:textId="77777777" w:rsidR="00F733B0" w:rsidRDefault="00F733B0">
            <w:pPr>
              <w:pStyle w:val="TableParagraph"/>
              <w:ind w:firstLineChars="200" w:firstLine="420"/>
              <w:rPr>
                <w:rFonts w:asciiTheme="majorEastAsia" w:eastAsiaTheme="majorEastAsia" w:hAnsiTheme="majorEastAsia"/>
                <w:szCs w:val="21"/>
              </w:rPr>
            </w:pPr>
          </w:p>
        </w:tc>
      </w:tr>
      <w:tr w:rsidR="00F733B0" w14:paraId="19FBDB65" w14:textId="77777777">
        <w:trPr>
          <w:trHeight w:val="3076"/>
        </w:trPr>
        <w:tc>
          <w:tcPr>
            <w:tcW w:w="1404" w:type="dxa"/>
            <w:tcBorders>
              <w:top w:val="single" w:sz="6" w:space="0" w:color="000000"/>
              <w:bottom w:val="single" w:sz="6" w:space="0" w:color="000000"/>
              <w:right w:val="single" w:sz="6" w:space="0" w:color="000000"/>
            </w:tcBorders>
            <w:vAlign w:val="center"/>
          </w:tcPr>
          <w:p w14:paraId="493FE179" w14:textId="77777777" w:rsidR="00F733B0" w:rsidRDefault="00000000">
            <w:pPr>
              <w:pStyle w:val="TableParagraph"/>
              <w:spacing w:line="278" w:lineRule="auto"/>
              <w:ind w:left="253" w:right="230"/>
              <w:jc w:val="center"/>
              <w:rPr>
                <w:b/>
                <w:lang w:val="en-US"/>
              </w:rPr>
            </w:pPr>
            <w:r>
              <w:rPr>
                <w:b/>
              </w:rPr>
              <w:lastRenderedPageBreak/>
              <w:t>下一季度</w:t>
            </w:r>
            <w:r>
              <w:rPr>
                <w:rFonts w:hint="eastAsia"/>
                <w:b/>
                <w:lang w:val="en-US"/>
              </w:rPr>
              <w:t>工作计划</w:t>
            </w:r>
          </w:p>
        </w:tc>
        <w:tc>
          <w:tcPr>
            <w:tcW w:w="6822" w:type="dxa"/>
            <w:gridSpan w:val="5"/>
            <w:tcBorders>
              <w:top w:val="single" w:sz="6" w:space="0" w:color="000000"/>
              <w:left w:val="single" w:sz="6" w:space="0" w:color="000000"/>
              <w:bottom w:val="single" w:sz="6" w:space="0" w:color="000000"/>
            </w:tcBorders>
            <w:vAlign w:val="center"/>
          </w:tcPr>
          <w:p w14:paraId="32B9B906" w14:textId="77777777" w:rsidR="00F733B0" w:rsidRDefault="00000000">
            <w:pPr>
              <w:pStyle w:val="TableParagraph"/>
              <w:spacing w:before="22"/>
              <w:ind w:left="114" w:firstLineChars="250" w:firstLine="525"/>
              <w:rPr>
                <w:lang w:val="en-US"/>
              </w:rPr>
            </w:pPr>
            <w:r>
              <w:rPr>
                <w:rFonts w:ascii="Times New Roman" w:hAnsi="Times New Roman" w:hint="eastAsia"/>
                <w:lang w:val="en-US"/>
              </w:rPr>
              <w:t>对</w:t>
            </w:r>
            <w:r>
              <w:rPr>
                <w:rFonts w:ascii="Times New Roman" w:hAnsi="Times New Roman" w:hint="eastAsia"/>
              </w:rPr>
              <w:t>螺旋波等离子源测试</w:t>
            </w:r>
            <w:r>
              <w:rPr>
                <w:rFonts w:ascii="Times New Roman" w:hAnsi="Times New Roman"/>
              </w:rPr>
              <w:t>平台</w:t>
            </w:r>
            <w:r>
              <w:rPr>
                <w:rFonts w:ascii="Times New Roman" w:hAnsi="Times New Roman" w:hint="eastAsia"/>
                <w:lang w:val="en-US"/>
              </w:rPr>
              <w:t>进行搭建，并进行对核心参数测试：等离子体密度、电子温度、等离子体电位、功率耦合效率以及等离子体均匀性。综合评估</w:t>
            </w:r>
            <w:r>
              <w:rPr>
                <w:rFonts w:ascii="Times New Roman" w:hAnsi="Times New Roman"/>
              </w:rPr>
              <w:t>螺旋波等离子体的性能</w:t>
            </w:r>
            <w:r>
              <w:rPr>
                <w:rFonts w:ascii="Times New Roman" w:hAnsi="Times New Roman" w:hint="eastAsia"/>
              </w:rPr>
              <w:t>。</w:t>
            </w:r>
          </w:p>
        </w:tc>
      </w:tr>
    </w:tbl>
    <w:p w14:paraId="6E1C7EB7" w14:textId="77777777" w:rsidR="00F733B0" w:rsidRDefault="00F733B0"/>
    <w:sectPr w:rsidR="00F733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B16D5"/>
    <w:multiLevelType w:val="multilevel"/>
    <w:tmpl w:val="706B16D5"/>
    <w:lvl w:ilvl="0">
      <w:start w:val="1"/>
      <w:numFmt w:val="decimal"/>
      <w:lvlText w:val="%1、"/>
      <w:lvlJc w:val="left"/>
      <w:pPr>
        <w:ind w:left="370" w:hanging="37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5789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c5NTkxZmU0MTBmOWQ2ODlhMzFhNmVjNjQ4YzE1ZGIifQ=="/>
  </w:docVars>
  <w:rsids>
    <w:rsidRoot w:val="6AE62525"/>
    <w:rsid w:val="00002925"/>
    <w:rsid w:val="00044E32"/>
    <w:rsid w:val="0005449A"/>
    <w:rsid w:val="00070FE7"/>
    <w:rsid w:val="00092AFD"/>
    <w:rsid w:val="000C4AFE"/>
    <w:rsid w:val="000D0266"/>
    <w:rsid w:val="000F7C72"/>
    <w:rsid w:val="00102BFE"/>
    <w:rsid w:val="0011479A"/>
    <w:rsid w:val="001223D8"/>
    <w:rsid w:val="00127109"/>
    <w:rsid w:val="00130925"/>
    <w:rsid w:val="0013451F"/>
    <w:rsid w:val="0015765C"/>
    <w:rsid w:val="0017576F"/>
    <w:rsid w:val="001978E3"/>
    <w:rsid w:val="001A0CAB"/>
    <w:rsid w:val="001B393C"/>
    <w:rsid w:val="001E12FF"/>
    <w:rsid w:val="001F1953"/>
    <w:rsid w:val="00287992"/>
    <w:rsid w:val="002B77CE"/>
    <w:rsid w:val="002E1FDC"/>
    <w:rsid w:val="002E458A"/>
    <w:rsid w:val="00325B44"/>
    <w:rsid w:val="00354B25"/>
    <w:rsid w:val="00357CB9"/>
    <w:rsid w:val="00385BE8"/>
    <w:rsid w:val="00393290"/>
    <w:rsid w:val="003A5A67"/>
    <w:rsid w:val="003E1A7E"/>
    <w:rsid w:val="00403EF8"/>
    <w:rsid w:val="00407889"/>
    <w:rsid w:val="00427383"/>
    <w:rsid w:val="004637B1"/>
    <w:rsid w:val="004654F2"/>
    <w:rsid w:val="00470796"/>
    <w:rsid w:val="004730D8"/>
    <w:rsid w:val="00486AC9"/>
    <w:rsid w:val="004A3B10"/>
    <w:rsid w:val="004B026D"/>
    <w:rsid w:val="004B78D9"/>
    <w:rsid w:val="004E115E"/>
    <w:rsid w:val="004E49E7"/>
    <w:rsid w:val="004E7254"/>
    <w:rsid w:val="004E7EB9"/>
    <w:rsid w:val="00501C92"/>
    <w:rsid w:val="005130B0"/>
    <w:rsid w:val="00513B23"/>
    <w:rsid w:val="00516FEF"/>
    <w:rsid w:val="0052272C"/>
    <w:rsid w:val="005270F8"/>
    <w:rsid w:val="00570B5F"/>
    <w:rsid w:val="00585F07"/>
    <w:rsid w:val="005B24B6"/>
    <w:rsid w:val="00621534"/>
    <w:rsid w:val="006422EC"/>
    <w:rsid w:val="00662A6C"/>
    <w:rsid w:val="00693652"/>
    <w:rsid w:val="006A145E"/>
    <w:rsid w:val="006B42B7"/>
    <w:rsid w:val="006E3C15"/>
    <w:rsid w:val="007051E8"/>
    <w:rsid w:val="007109AF"/>
    <w:rsid w:val="00725230"/>
    <w:rsid w:val="00730629"/>
    <w:rsid w:val="0073186C"/>
    <w:rsid w:val="00750DBD"/>
    <w:rsid w:val="00767E49"/>
    <w:rsid w:val="00775A57"/>
    <w:rsid w:val="0078147F"/>
    <w:rsid w:val="007944AE"/>
    <w:rsid w:val="007A2B04"/>
    <w:rsid w:val="007C1A65"/>
    <w:rsid w:val="007D0CA1"/>
    <w:rsid w:val="007E3D20"/>
    <w:rsid w:val="00801CC8"/>
    <w:rsid w:val="008606C3"/>
    <w:rsid w:val="008750E7"/>
    <w:rsid w:val="0088324B"/>
    <w:rsid w:val="00887D44"/>
    <w:rsid w:val="008B0EE1"/>
    <w:rsid w:val="008D12F4"/>
    <w:rsid w:val="00911E25"/>
    <w:rsid w:val="00924AF0"/>
    <w:rsid w:val="0095387B"/>
    <w:rsid w:val="009B33D6"/>
    <w:rsid w:val="00A6324D"/>
    <w:rsid w:val="00A64622"/>
    <w:rsid w:val="00A700E2"/>
    <w:rsid w:val="00A71F14"/>
    <w:rsid w:val="00A94438"/>
    <w:rsid w:val="00B62D8F"/>
    <w:rsid w:val="00B9043A"/>
    <w:rsid w:val="00BB3C1A"/>
    <w:rsid w:val="00BF0D94"/>
    <w:rsid w:val="00C12814"/>
    <w:rsid w:val="00CB3A10"/>
    <w:rsid w:val="00CF2318"/>
    <w:rsid w:val="00D036BC"/>
    <w:rsid w:val="00D03C11"/>
    <w:rsid w:val="00D6436F"/>
    <w:rsid w:val="00DA2C86"/>
    <w:rsid w:val="00DC5887"/>
    <w:rsid w:val="00E00278"/>
    <w:rsid w:val="00E360B8"/>
    <w:rsid w:val="00E558BF"/>
    <w:rsid w:val="00E70490"/>
    <w:rsid w:val="00EB475E"/>
    <w:rsid w:val="00EB753A"/>
    <w:rsid w:val="00EE2786"/>
    <w:rsid w:val="00EF0A33"/>
    <w:rsid w:val="00F07BE0"/>
    <w:rsid w:val="00F212D4"/>
    <w:rsid w:val="00F21CCB"/>
    <w:rsid w:val="00F324D5"/>
    <w:rsid w:val="00F414FA"/>
    <w:rsid w:val="00F733B0"/>
    <w:rsid w:val="00F818C4"/>
    <w:rsid w:val="00F90595"/>
    <w:rsid w:val="00F954BF"/>
    <w:rsid w:val="00FA7145"/>
    <w:rsid w:val="00FB6DC1"/>
    <w:rsid w:val="00FC3081"/>
    <w:rsid w:val="00FF0AB3"/>
    <w:rsid w:val="00FF6767"/>
    <w:rsid w:val="08580817"/>
    <w:rsid w:val="0B50723E"/>
    <w:rsid w:val="11506D41"/>
    <w:rsid w:val="13C379DA"/>
    <w:rsid w:val="146C3610"/>
    <w:rsid w:val="1E7864E7"/>
    <w:rsid w:val="211621E2"/>
    <w:rsid w:val="21DB48C2"/>
    <w:rsid w:val="27082CEF"/>
    <w:rsid w:val="2BFF47C5"/>
    <w:rsid w:val="318026FC"/>
    <w:rsid w:val="31EF0CAF"/>
    <w:rsid w:val="334D3D45"/>
    <w:rsid w:val="4A6D0F14"/>
    <w:rsid w:val="558D41B7"/>
    <w:rsid w:val="58F5454D"/>
    <w:rsid w:val="631630A5"/>
    <w:rsid w:val="647A0224"/>
    <w:rsid w:val="6AE62525"/>
    <w:rsid w:val="6F667618"/>
    <w:rsid w:val="77626DFA"/>
    <w:rsid w:val="78572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4591083"/>
  <w15:docId w15:val="{49DE30EB-C711-4084-A7AF-4F24C8E0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2">
    <w:name w:val="heading 2"/>
    <w:basedOn w:val="Normal"/>
    <w:next w:val="Normal"/>
    <w:uiPriority w:val="1"/>
    <w:qFormat/>
    <w:pPr>
      <w:ind w:left="398"/>
      <w:outlineLvl w:val="1"/>
    </w:pPr>
    <w:rPr>
      <w:rFonts w:ascii="宋体" w:eastAsia="宋体" w:hAnsi="宋体" w:cs="宋体"/>
      <w:b/>
      <w:bCs/>
      <w:sz w:val="28"/>
      <w:szCs w:val="28"/>
      <w:lang w:val="zh-CN" w:bidi="zh-CN"/>
    </w:rPr>
  </w:style>
  <w:style w:type="paragraph" w:styleId="Heading3">
    <w:name w:val="heading 3"/>
    <w:basedOn w:val="Normal"/>
    <w:next w:val="Normal"/>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pPr>
    <w:rPr>
      <w:rFonts w:ascii="宋体" w:eastAsia="宋体" w:hAnsi="宋体" w:cs="宋体"/>
      <w:sz w:val="24"/>
      <w:lang w:val="zh-CN" w:bidi="zh-CN"/>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character" w:styleId="Strong">
    <w:name w:val="Strong"/>
    <w:basedOn w:val="DefaultParagraphFont"/>
    <w:qFormat/>
    <w:rPr>
      <w:b/>
    </w:rPr>
  </w:style>
  <w:style w:type="paragraph" w:customStyle="1" w:styleId="TableParagraph">
    <w:name w:val="Table Paragraph"/>
    <w:basedOn w:val="Normal"/>
    <w:uiPriority w:val="1"/>
    <w:qFormat/>
    <w:rPr>
      <w:rFonts w:ascii="宋体" w:eastAsia="宋体" w:hAnsi="宋体" w:cs="宋体"/>
      <w:lang w:val="zh-CN" w:bidi="zh-CN"/>
    </w:r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1002</Words>
  <Characters>1043</Characters>
  <Application>Microsoft Office Word</Application>
  <DocSecurity>0</DocSecurity>
  <Lines>61</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卞朝晖</dc:creator>
  <cp:lastModifiedBy>Xinhang Xu</cp:lastModifiedBy>
  <cp:revision>4</cp:revision>
  <dcterms:created xsi:type="dcterms:W3CDTF">2025-10-31T06:48:00Z</dcterms:created>
  <dcterms:modified xsi:type="dcterms:W3CDTF">2025-11-22T11:08:00Z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3504A8FD84E94AE1926874F56A7B36B3_13</vt:lpwstr>
  </property>
  <property fmtid="{D5CDD505-2E9C-101B-9397-08002B2CF9AE}" pid="4" name="KSOTemplateDocerSaveRecord">
    <vt:lpwstr>eyJoZGlkIjoiMDI0MTU3ODlhODQwYmQyMGM4YjI5MGVhYWM1NzkyNTMiLCJ1c2VySWQiOiIzOTg4NDI2MzAifQ==</vt:lpwstr>
  </property>
</Properties>
</file>