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5CAE4" w14:textId="77777777" w:rsidR="005F22BC" w:rsidRDefault="00000000">
      <w:pPr>
        <w:pStyle w:val="Heading2"/>
        <w:tabs>
          <w:tab w:val="left" w:pos="1824"/>
        </w:tabs>
        <w:jc w:val="center"/>
        <w:rPr>
          <w:lang w:val="en-US"/>
        </w:rPr>
      </w:pPr>
      <w:r>
        <w:rPr>
          <w:rFonts w:hint="eastAsia"/>
          <w:lang w:val="en-US"/>
        </w:rPr>
        <w:t>合肥综合性国家科学中心能源研究院</w:t>
      </w:r>
    </w:p>
    <w:p w14:paraId="54C55030" w14:textId="77777777" w:rsidR="005F22BC" w:rsidRDefault="00000000">
      <w:pPr>
        <w:pStyle w:val="Heading2"/>
        <w:tabs>
          <w:tab w:val="left" w:pos="1824"/>
        </w:tabs>
        <w:jc w:val="center"/>
        <w:rPr>
          <w:rFonts w:ascii="仿宋" w:eastAsia="仿宋" w:hAnsi="仿宋" w:cs="仿宋"/>
          <w:lang w:val="en-US"/>
        </w:rPr>
      </w:pPr>
      <w:r>
        <w:rPr>
          <w:rFonts w:ascii="仿宋" w:eastAsia="仿宋" w:hAnsi="仿宋" w:cs="仿宋" w:hint="eastAsia"/>
          <w:lang w:val="en-US"/>
        </w:rPr>
        <w:t>科研项目聘用人员工作报告</w:t>
      </w:r>
    </w:p>
    <w:tbl>
      <w:tblPr>
        <w:tblpPr w:leftFromText="180" w:rightFromText="180" w:vertAnchor="text" w:horzAnchor="page" w:tblpX="1801" w:tblpY="176"/>
        <w:tblOverlap w:val="neve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404"/>
        <w:gridCol w:w="1470"/>
        <w:gridCol w:w="891"/>
        <w:gridCol w:w="1568"/>
        <w:gridCol w:w="709"/>
        <w:gridCol w:w="2184"/>
      </w:tblGrid>
      <w:tr w:rsidR="005F22BC" w14:paraId="69382364" w14:textId="77777777">
        <w:trPr>
          <w:trHeight w:val="663"/>
        </w:trPr>
        <w:tc>
          <w:tcPr>
            <w:tcW w:w="1404" w:type="dxa"/>
            <w:tcBorders>
              <w:bottom w:val="single" w:sz="6" w:space="0" w:color="000000"/>
              <w:right w:val="single" w:sz="6" w:space="0" w:color="000000"/>
            </w:tcBorders>
            <w:vAlign w:val="center"/>
          </w:tcPr>
          <w:p w14:paraId="30A22698" w14:textId="77777777" w:rsidR="005F22BC" w:rsidRDefault="00000000">
            <w:pPr>
              <w:pStyle w:val="TableParagraph"/>
              <w:spacing w:before="3" w:line="310" w:lineRule="atLeast"/>
              <w:ind w:left="465" w:right="230" w:hanging="212"/>
              <w:jc w:val="center"/>
              <w:rPr>
                <w:b/>
              </w:rPr>
            </w:pPr>
            <w:r>
              <w:rPr>
                <w:b/>
              </w:rPr>
              <w:t>姓名</w:t>
            </w:r>
          </w:p>
        </w:tc>
        <w:tc>
          <w:tcPr>
            <w:tcW w:w="1470" w:type="dxa"/>
            <w:tcBorders>
              <w:left w:val="single" w:sz="6" w:space="0" w:color="000000"/>
              <w:bottom w:val="single" w:sz="6" w:space="0" w:color="000000"/>
              <w:right w:val="single" w:sz="6" w:space="0" w:color="000000"/>
            </w:tcBorders>
            <w:vAlign w:val="center"/>
          </w:tcPr>
          <w:p w14:paraId="57AF50EF" w14:textId="6C197597" w:rsidR="005F22BC" w:rsidRDefault="00570DF8">
            <w:pPr>
              <w:pStyle w:val="TableParagraph"/>
              <w:jc w:val="center"/>
              <w:rPr>
                <w:rFonts w:ascii="Times New Roman"/>
                <w:sz w:val="22"/>
                <w:lang w:val="en-US"/>
              </w:rPr>
            </w:pPr>
            <w:r>
              <w:rPr>
                <w:rFonts w:ascii="Times New Roman" w:hint="eastAsia"/>
                <w:sz w:val="22"/>
                <w:lang w:val="en-US"/>
              </w:rPr>
              <w:t>徐新航</w:t>
            </w:r>
          </w:p>
        </w:tc>
        <w:tc>
          <w:tcPr>
            <w:tcW w:w="891" w:type="dxa"/>
            <w:tcBorders>
              <w:left w:val="single" w:sz="6" w:space="0" w:color="000000"/>
              <w:bottom w:val="single" w:sz="6" w:space="0" w:color="000000"/>
              <w:right w:val="single" w:sz="6" w:space="0" w:color="000000"/>
            </w:tcBorders>
            <w:vAlign w:val="center"/>
          </w:tcPr>
          <w:p w14:paraId="7BC0D81B" w14:textId="77777777" w:rsidR="005F22BC" w:rsidRDefault="00000000">
            <w:pPr>
              <w:pStyle w:val="TableParagraph"/>
              <w:spacing w:before="3" w:line="310" w:lineRule="atLeast"/>
              <w:ind w:left="176" w:right="117" w:hanging="29"/>
              <w:jc w:val="center"/>
              <w:rPr>
                <w:b/>
                <w:lang w:val="en-US"/>
              </w:rPr>
            </w:pPr>
            <w:r>
              <w:rPr>
                <w:rFonts w:hint="eastAsia"/>
                <w:b/>
                <w:lang w:val="en-US"/>
              </w:rPr>
              <w:t>职称/学历</w:t>
            </w:r>
          </w:p>
        </w:tc>
        <w:tc>
          <w:tcPr>
            <w:tcW w:w="1568" w:type="dxa"/>
            <w:tcBorders>
              <w:left w:val="single" w:sz="6" w:space="0" w:color="000000"/>
              <w:bottom w:val="single" w:sz="6" w:space="0" w:color="000000"/>
              <w:right w:val="single" w:sz="6" w:space="0" w:color="000000"/>
            </w:tcBorders>
            <w:vAlign w:val="center"/>
          </w:tcPr>
          <w:p w14:paraId="302F8A9B" w14:textId="2F3C48D5" w:rsidR="005F22BC" w:rsidRDefault="00570DF8">
            <w:pPr>
              <w:pStyle w:val="TableParagraph"/>
              <w:jc w:val="center"/>
              <w:rPr>
                <w:rFonts w:ascii="Times New Roman"/>
                <w:sz w:val="22"/>
                <w:lang w:val="en-US"/>
              </w:rPr>
            </w:pPr>
            <w:r>
              <w:rPr>
                <w:rFonts w:ascii="Times New Roman" w:hint="eastAsia"/>
                <w:sz w:val="22"/>
                <w:lang w:val="en-US"/>
              </w:rPr>
              <w:t>博士后</w:t>
            </w:r>
          </w:p>
        </w:tc>
        <w:tc>
          <w:tcPr>
            <w:tcW w:w="709" w:type="dxa"/>
            <w:tcBorders>
              <w:left w:val="single" w:sz="6" w:space="0" w:color="000000"/>
              <w:bottom w:val="single" w:sz="6" w:space="0" w:color="000000"/>
              <w:right w:val="single" w:sz="6" w:space="0" w:color="000000"/>
            </w:tcBorders>
            <w:vAlign w:val="center"/>
          </w:tcPr>
          <w:p w14:paraId="2AE52D75" w14:textId="77777777" w:rsidR="005F22BC" w:rsidRDefault="00000000">
            <w:pPr>
              <w:pStyle w:val="TableParagraph"/>
              <w:spacing w:before="3" w:line="310" w:lineRule="atLeast"/>
              <w:ind w:left="144" w:right="123"/>
              <w:jc w:val="center"/>
              <w:rPr>
                <w:b/>
                <w:lang w:val="en-US"/>
              </w:rPr>
            </w:pPr>
            <w:r>
              <w:rPr>
                <w:rFonts w:hint="eastAsia"/>
                <w:b/>
                <w:lang w:val="en-US"/>
              </w:rPr>
              <w:t>报告起止时间</w:t>
            </w:r>
          </w:p>
        </w:tc>
        <w:tc>
          <w:tcPr>
            <w:tcW w:w="2184" w:type="dxa"/>
            <w:tcBorders>
              <w:left w:val="single" w:sz="6" w:space="0" w:color="000000"/>
              <w:bottom w:val="single" w:sz="6" w:space="0" w:color="000000"/>
            </w:tcBorders>
            <w:vAlign w:val="center"/>
          </w:tcPr>
          <w:p w14:paraId="350DB07B" w14:textId="43FCC715" w:rsidR="005F22BC" w:rsidRDefault="00DF4C81">
            <w:pPr>
              <w:pStyle w:val="TableParagraph"/>
              <w:spacing w:before="7"/>
              <w:jc w:val="center"/>
              <w:rPr>
                <w:lang w:val="en-US"/>
              </w:rPr>
            </w:pPr>
            <w:r>
              <w:rPr>
                <w:rFonts w:hint="eastAsia"/>
                <w:lang w:val="en-US"/>
              </w:rPr>
              <w:t>2025年</w:t>
            </w:r>
            <w:r w:rsidR="00784998">
              <w:rPr>
                <w:rFonts w:hint="eastAsia"/>
                <w:lang w:val="en-US"/>
              </w:rPr>
              <w:t>11</w:t>
            </w:r>
            <w:r>
              <w:rPr>
                <w:rFonts w:hint="eastAsia"/>
                <w:lang w:val="en-US"/>
              </w:rPr>
              <w:t>月</w:t>
            </w:r>
            <w:r w:rsidR="00784998">
              <w:rPr>
                <w:rFonts w:hint="eastAsia"/>
                <w:lang w:val="en-US"/>
              </w:rPr>
              <w:t>20</w:t>
            </w:r>
            <w:r>
              <w:rPr>
                <w:rFonts w:hint="eastAsia"/>
                <w:lang w:val="en-US"/>
              </w:rPr>
              <w:t>日-</w:t>
            </w:r>
            <w:r w:rsidR="00547A60">
              <w:rPr>
                <w:rFonts w:hint="eastAsia"/>
                <w:lang w:val="en-US"/>
              </w:rPr>
              <w:t>11</w:t>
            </w:r>
            <w:r>
              <w:rPr>
                <w:rFonts w:hint="eastAsia"/>
                <w:lang w:val="en-US"/>
              </w:rPr>
              <w:t>月</w:t>
            </w:r>
            <w:r w:rsidR="00784998">
              <w:rPr>
                <w:rFonts w:hint="eastAsia"/>
                <w:lang w:val="en-US"/>
              </w:rPr>
              <w:t>22</w:t>
            </w:r>
            <w:r>
              <w:rPr>
                <w:rFonts w:hint="eastAsia"/>
                <w:lang w:val="en-US"/>
              </w:rPr>
              <w:t>日</w:t>
            </w:r>
          </w:p>
        </w:tc>
      </w:tr>
      <w:tr w:rsidR="005F22BC" w14:paraId="0CD0AD0A" w14:textId="77777777">
        <w:trPr>
          <w:trHeight w:val="873"/>
        </w:trPr>
        <w:tc>
          <w:tcPr>
            <w:tcW w:w="1404" w:type="dxa"/>
            <w:tcBorders>
              <w:top w:val="single" w:sz="6" w:space="0" w:color="000000"/>
              <w:bottom w:val="single" w:sz="6" w:space="0" w:color="000000"/>
              <w:right w:val="single" w:sz="6" w:space="0" w:color="000000"/>
            </w:tcBorders>
            <w:vAlign w:val="center"/>
          </w:tcPr>
          <w:p w14:paraId="29B2A2D3" w14:textId="77777777" w:rsidR="005F22BC" w:rsidRDefault="00000000">
            <w:pPr>
              <w:pStyle w:val="TableParagraph"/>
              <w:spacing w:before="147" w:line="278" w:lineRule="auto"/>
              <w:ind w:left="464" w:right="442"/>
              <w:jc w:val="center"/>
              <w:rPr>
                <w:b/>
              </w:rPr>
            </w:pPr>
            <w:r>
              <w:rPr>
                <w:rFonts w:hint="eastAsia"/>
                <w:b/>
                <w:lang w:val="en-US"/>
              </w:rPr>
              <w:t>所属</w:t>
            </w:r>
            <w:r>
              <w:rPr>
                <w:rFonts w:hint="eastAsia"/>
                <w:b/>
              </w:rPr>
              <w:t>项目</w:t>
            </w:r>
          </w:p>
        </w:tc>
        <w:tc>
          <w:tcPr>
            <w:tcW w:w="6822" w:type="dxa"/>
            <w:gridSpan w:val="5"/>
            <w:tcBorders>
              <w:top w:val="single" w:sz="6" w:space="0" w:color="000000"/>
              <w:left w:val="single" w:sz="6" w:space="0" w:color="000000"/>
              <w:bottom w:val="single" w:sz="6" w:space="0" w:color="000000"/>
            </w:tcBorders>
            <w:vAlign w:val="center"/>
          </w:tcPr>
          <w:p w14:paraId="451D36EB" w14:textId="52A248FD" w:rsidR="005F22BC" w:rsidRDefault="00570DF8" w:rsidP="00570DF8">
            <w:pPr>
              <w:pStyle w:val="TableParagraph"/>
              <w:jc w:val="center"/>
              <w:rPr>
                <w:rFonts w:hint="eastAsia"/>
                <w:b/>
                <w:lang w:val="en-US"/>
              </w:rPr>
            </w:pPr>
            <w:r>
              <w:rPr>
                <w:rFonts w:hint="eastAsia"/>
                <w:b/>
                <w:lang w:val="en-US"/>
              </w:rPr>
              <w:t>针对紧凑等离子体环对托卡马克密度扰动的诊断</w:t>
            </w:r>
            <w:r w:rsidR="00CE19F8">
              <w:rPr>
                <w:rFonts w:hint="eastAsia"/>
                <w:b/>
                <w:lang w:val="en-US"/>
              </w:rPr>
              <w:t>研制</w:t>
            </w:r>
          </w:p>
        </w:tc>
      </w:tr>
      <w:tr w:rsidR="005F22BC" w14:paraId="4CFFB7DC" w14:textId="77777777" w:rsidTr="00784998">
        <w:trPr>
          <w:trHeight w:val="3495"/>
        </w:trPr>
        <w:tc>
          <w:tcPr>
            <w:tcW w:w="1404" w:type="dxa"/>
            <w:tcBorders>
              <w:top w:val="single" w:sz="6" w:space="0" w:color="000000"/>
              <w:bottom w:val="single" w:sz="6" w:space="0" w:color="000000"/>
              <w:right w:val="single" w:sz="6" w:space="0" w:color="000000"/>
            </w:tcBorders>
            <w:vAlign w:val="center"/>
          </w:tcPr>
          <w:p w14:paraId="3C8B200A" w14:textId="77777777" w:rsidR="005F22BC" w:rsidRDefault="005F22BC">
            <w:pPr>
              <w:pStyle w:val="TableParagraph"/>
              <w:rPr>
                <w:b/>
                <w:sz w:val="25"/>
              </w:rPr>
            </w:pPr>
          </w:p>
          <w:p w14:paraId="4058FD71" w14:textId="77777777" w:rsidR="005F22BC" w:rsidRDefault="00000000">
            <w:pPr>
              <w:pStyle w:val="TableParagraph"/>
              <w:spacing w:line="278" w:lineRule="auto"/>
              <w:ind w:left="253" w:right="230"/>
              <w:jc w:val="center"/>
              <w:rPr>
                <w:b/>
                <w:lang w:val="en-US"/>
              </w:rPr>
            </w:pPr>
            <w:r>
              <w:rPr>
                <w:rFonts w:hint="eastAsia"/>
                <w:b/>
                <w:lang w:val="en-US"/>
              </w:rPr>
              <w:t>工作</w:t>
            </w:r>
            <w:r>
              <w:rPr>
                <w:b/>
              </w:rPr>
              <w:t>任务完成情况</w:t>
            </w:r>
            <w:r>
              <w:rPr>
                <w:rFonts w:hint="eastAsia"/>
                <w:b/>
                <w:lang w:val="en-US"/>
              </w:rPr>
              <w:t>与主要成果说明</w:t>
            </w:r>
          </w:p>
        </w:tc>
        <w:tc>
          <w:tcPr>
            <w:tcW w:w="6822" w:type="dxa"/>
            <w:gridSpan w:val="5"/>
            <w:tcBorders>
              <w:top w:val="single" w:sz="6" w:space="0" w:color="000000"/>
              <w:left w:val="single" w:sz="6" w:space="0" w:color="000000"/>
              <w:bottom w:val="single" w:sz="6" w:space="0" w:color="000000"/>
            </w:tcBorders>
            <w:vAlign w:val="center"/>
          </w:tcPr>
          <w:p w14:paraId="5EB9AE15" w14:textId="77777777" w:rsidR="005F22BC" w:rsidRDefault="005F22BC">
            <w:pPr>
              <w:pStyle w:val="TableParagraph"/>
              <w:rPr>
                <w:rFonts w:ascii="Times New Roman"/>
                <w:b/>
                <w:bCs/>
                <w:sz w:val="22"/>
                <w:lang w:val="en-US"/>
              </w:rPr>
            </w:pPr>
          </w:p>
          <w:p w14:paraId="14583DB7" w14:textId="29ADB143" w:rsidR="005F22BC" w:rsidRDefault="00AD7A70">
            <w:pPr>
              <w:pStyle w:val="TableParagraph"/>
              <w:rPr>
                <w:rFonts w:ascii="Times New Roman" w:eastAsiaTheme="minorEastAsia" w:hAnsiTheme="minorHAnsi" w:cstheme="minorBidi"/>
                <w:szCs w:val="22"/>
                <w:lang w:val="en-US" w:bidi="ar-SA"/>
              </w:rPr>
            </w:pPr>
            <w:r>
              <w:rPr>
                <w:rFonts w:ascii="Times New Roman" w:hint="eastAsia"/>
                <w:b/>
                <w:bCs/>
                <w:sz w:val="22"/>
                <w:lang w:val="en-US"/>
              </w:rPr>
              <w:t>研究意义：</w:t>
            </w:r>
            <w:proofErr w:type="gramStart"/>
            <w:r>
              <w:rPr>
                <w:rFonts w:ascii="Times New Roman" w:eastAsiaTheme="minorEastAsia" w:hAnsiTheme="minorHAnsi" w:cstheme="minorBidi" w:hint="eastAsia"/>
                <w:szCs w:val="22"/>
                <w:lang w:val="en-US" w:bidi="ar-SA"/>
              </w:rPr>
              <w:t>紧凑环</w:t>
            </w:r>
            <w:proofErr w:type="gramEnd"/>
            <w:r>
              <w:rPr>
                <w:rFonts w:ascii="Times New Roman" w:eastAsiaTheme="minorEastAsia" w:hAnsiTheme="minorHAnsi" w:cstheme="minorBidi" w:hint="eastAsia"/>
                <w:szCs w:val="22"/>
                <w:lang w:val="en-US" w:bidi="ar-SA"/>
              </w:rPr>
              <w:t>加料系统</w:t>
            </w:r>
            <w:r w:rsidR="00570DF8">
              <w:rPr>
                <w:rFonts w:ascii="Times New Roman" w:eastAsiaTheme="minorEastAsia" w:hAnsiTheme="minorHAnsi" w:cstheme="minorBidi" w:hint="eastAsia"/>
                <w:szCs w:val="22"/>
                <w:lang w:val="en-US" w:bidi="ar-SA"/>
              </w:rPr>
              <w:t>如何影响等离子体内部密度</w:t>
            </w:r>
            <w:r w:rsidR="00816205">
              <w:rPr>
                <w:rFonts w:ascii="Times New Roman" w:eastAsiaTheme="minorEastAsia" w:hAnsiTheme="minorHAnsi" w:cstheme="minorBidi" w:hint="eastAsia"/>
                <w:szCs w:val="22"/>
                <w:lang w:val="en-US" w:bidi="ar-SA"/>
              </w:rPr>
              <w:t>波动和密度分布关系到托卡马克平衡和输运，对</w:t>
            </w:r>
            <w:r w:rsidR="00CD02CD">
              <w:rPr>
                <w:rFonts w:ascii="Times New Roman" w:eastAsiaTheme="minorEastAsia" w:hAnsiTheme="minorHAnsi" w:cstheme="minorBidi" w:hint="eastAsia"/>
                <w:szCs w:val="22"/>
                <w:lang w:val="en-US" w:bidi="ar-SA"/>
              </w:rPr>
              <w:t>托卡马克</w:t>
            </w:r>
            <w:r w:rsidR="00816205">
              <w:rPr>
                <w:rFonts w:ascii="Times New Roman" w:eastAsiaTheme="minorEastAsia" w:hAnsiTheme="minorHAnsi" w:cstheme="minorBidi" w:hint="eastAsia"/>
                <w:szCs w:val="22"/>
                <w:lang w:val="en-US" w:bidi="ar-SA"/>
              </w:rPr>
              <w:t>运行</w:t>
            </w:r>
            <w:r w:rsidR="00CD02CD">
              <w:rPr>
                <w:rFonts w:ascii="Times New Roman" w:eastAsiaTheme="minorEastAsia" w:hAnsiTheme="minorHAnsi" w:cstheme="minorBidi" w:hint="eastAsia"/>
                <w:szCs w:val="22"/>
                <w:lang w:val="en-US" w:bidi="ar-SA"/>
              </w:rPr>
              <w:t>具有</w:t>
            </w:r>
            <w:r w:rsidR="00816205">
              <w:rPr>
                <w:rFonts w:ascii="Times New Roman" w:eastAsiaTheme="minorEastAsia" w:hAnsiTheme="minorHAnsi" w:cstheme="minorBidi" w:hint="eastAsia"/>
                <w:szCs w:val="22"/>
                <w:lang w:val="en-US" w:bidi="ar-SA"/>
              </w:rPr>
              <w:t>重要影响。微波</w:t>
            </w:r>
            <w:r w:rsidR="00DF4C81">
              <w:rPr>
                <w:rFonts w:ascii="Times New Roman" w:eastAsiaTheme="minorEastAsia" w:hAnsiTheme="minorHAnsi" w:cstheme="minorBidi" w:hint="eastAsia"/>
                <w:szCs w:val="22"/>
                <w:lang w:val="en-US" w:bidi="ar-SA"/>
              </w:rPr>
              <w:t>成像</w:t>
            </w:r>
            <w:r w:rsidR="00816205">
              <w:rPr>
                <w:rFonts w:ascii="Times New Roman" w:eastAsiaTheme="minorEastAsia" w:hAnsiTheme="minorHAnsi" w:cstheme="minorBidi" w:hint="eastAsia"/>
                <w:szCs w:val="22"/>
                <w:lang w:val="en-US" w:bidi="ar-SA"/>
              </w:rPr>
              <w:t>反射</w:t>
            </w:r>
            <w:r w:rsidR="00DF4C81">
              <w:rPr>
                <w:rFonts w:ascii="Times New Roman" w:eastAsiaTheme="minorEastAsia" w:hAnsiTheme="minorHAnsi" w:cstheme="minorBidi" w:hint="eastAsia"/>
                <w:szCs w:val="22"/>
                <w:lang w:val="en-US" w:bidi="ar-SA"/>
              </w:rPr>
              <w:t>计</w:t>
            </w:r>
            <w:r w:rsidR="00DF4C81">
              <w:rPr>
                <w:rFonts w:ascii="Times New Roman" w:eastAsiaTheme="minorEastAsia" w:hAnsiTheme="minorHAnsi" w:cstheme="minorBidi" w:hint="eastAsia"/>
                <w:szCs w:val="22"/>
                <w:lang w:val="en-US" w:bidi="ar-SA"/>
              </w:rPr>
              <w:t>(</w:t>
            </w:r>
            <w:r w:rsidR="00DF4C81" w:rsidRPr="00DF4C81">
              <w:rPr>
                <w:rFonts w:ascii="Times New Roman" w:eastAsiaTheme="minorEastAsia" w:hAnsiTheme="minorHAnsi" w:cstheme="minorBidi"/>
                <w:szCs w:val="22"/>
                <w:lang w:val="en-US" w:bidi="ar-SA"/>
              </w:rPr>
              <w:t>Microwave Imaging Reflectometry, MIR</w:t>
            </w:r>
            <w:r w:rsidR="00DF4C81">
              <w:rPr>
                <w:rFonts w:ascii="Times New Roman" w:eastAsiaTheme="minorEastAsia" w:hAnsiTheme="minorHAnsi" w:cstheme="minorBidi" w:hint="eastAsia"/>
                <w:szCs w:val="22"/>
                <w:lang w:val="en-US" w:bidi="ar-SA"/>
              </w:rPr>
              <w:t>)</w:t>
            </w:r>
            <w:r w:rsidR="00816205">
              <w:rPr>
                <w:rFonts w:ascii="Times New Roman" w:eastAsiaTheme="minorEastAsia" w:hAnsiTheme="minorHAnsi" w:cstheme="minorBidi" w:hint="eastAsia"/>
                <w:szCs w:val="22"/>
                <w:lang w:val="en-US" w:bidi="ar-SA"/>
              </w:rPr>
              <w:t>作为无侵入诊断</w:t>
            </w:r>
            <w:r w:rsidR="00CD02CD">
              <w:rPr>
                <w:rFonts w:ascii="Times New Roman" w:eastAsiaTheme="minorEastAsia" w:hAnsiTheme="minorHAnsi" w:cstheme="minorBidi" w:hint="eastAsia"/>
                <w:szCs w:val="22"/>
                <w:lang w:val="en-US" w:bidi="ar-SA"/>
              </w:rPr>
              <w:t>手段</w:t>
            </w:r>
            <w:r w:rsidR="00816205">
              <w:rPr>
                <w:rFonts w:ascii="Times New Roman" w:eastAsiaTheme="minorEastAsia" w:hAnsiTheme="minorHAnsi" w:cstheme="minorBidi" w:hint="eastAsia"/>
                <w:szCs w:val="22"/>
                <w:lang w:val="en-US" w:bidi="ar-SA"/>
              </w:rPr>
              <w:t>为大尺度密度波动提供了直接的成像</w:t>
            </w:r>
            <w:r w:rsidR="00CD02CD">
              <w:rPr>
                <w:rFonts w:ascii="Times New Roman" w:eastAsiaTheme="minorEastAsia" w:hAnsiTheme="minorHAnsi" w:cstheme="minorBidi" w:hint="eastAsia"/>
                <w:szCs w:val="22"/>
                <w:lang w:val="en-US" w:bidi="ar-SA"/>
              </w:rPr>
              <w:t>图像</w:t>
            </w:r>
            <w:r w:rsidR="00394118">
              <w:rPr>
                <w:rFonts w:ascii="Times New Roman" w:eastAsiaTheme="minorEastAsia" w:hAnsiTheme="minorHAnsi" w:cstheme="minorBidi" w:hint="eastAsia"/>
                <w:szCs w:val="22"/>
                <w:lang w:val="en-US" w:bidi="ar-SA"/>
              </w:rPr>
              <w:t>，其高时间分辨率（</w:t>
            </w:r>
            <w:r w:rsidR="00394118">
              <w:rPr>
                <w:rFonts w:ascii="Times New Roman" w:eastAsiaTheme="minorEastAsia" w:hAnsiTheme="minorHAnsi" w:cstheme="minorBidi" w:hint="eastAsia"/>
                <w:szCs w:val="22"/>
                <w:lang w:val="en-US" w:bidi="ar-SA"/>
              </w:rPr>
              <w:t>1</w:t>
            </w:r>
            <m:oMath>
              <m:r>
                <w:rPr>
                  <w:rFonts w:ascii="Cambria Math" w:eastAsiaTheme="minorEastAsia" w:hAnsi="Cambria Math" w:cstheme="minorBidi"/>
                  <w:szCs w:val="22"/>
                  <w:lang w:val="en-US" w:bidi="ar-SA"/>
                </w:rPr>
                <m:t>μ</m:t>
              </m:r>
            </m:oMath>
            <w:r w:rsidR="00394118">
              <w:rPr>
                <w:rFonts w:ascii="Times New Roman" w:eastAsiaTheme="minorEastAsia" w:hAnsiTheme="minorHAnsi" w:cstheme="minorBidi" w:hint="eastAsia"/>
                <w:szCs w:val="22"/>
                <w:lang w:val="en-US" w:bidi="ar-SA"/>
              </w:rPr>
              <w:t>s</w:t>
            </w:r>
            <w:r w:rsidR="00394118">
              <w:rPr>
                <w:rFonts w:ascii="Times New Roman" w:eastAsiaTheme="minorEastAsia" w:hAnsiTheme="minorHAnsi" w:cstheme="minorBidi" w:hint="eastAsia"/>
                <w:szCs w:val="22"/>
                <w:lang w:val="en-US" w:bidi="ar-SA"/>
              </w:rPr>
              <w:t>）和空间分辨率为</w:t>
            </w:r>
            <w:r w:rsidR="00394118">
              <w:rPr>
                <w:rFonts w:ascii="Times New Roman" w:eastAsiaTheme="minorEastAsia" w:hAnsiTheme="minorHAnsi" w:cstheme="minorBidi" w:hint="eastAsia"/>
                <w:szCs w:val="22"/>
                <w:lang w:val="en-US" w:bidi="ar-SA"/>
              </w:rPr>
              <w:t>CT</w:t>
            </w:r>
            <w:r w:rsidR="00394118">
              <w:rPr>
                <w:rFonts w:ascii="Times New Roman" w:eastAsiaTheme="minorEastAsia" w:hAnsiTheme="minorHAnsi" w:cstheme="minorBidi" w:hint="eastAsia"/>
                <w:szCs w:val="22"/>
                <w:lang w:val="en-US" w:bidi="ar-SA"/>
              </w:rPr>
              <w:t>加料过程中托卡马克密度波动的动态演化</w:t>
            </w:r>
            <w:r w:rsidR="00B81F8D">
              <w:rPr>
                <w:rFonts w:ascii="Times New Roman" w:eastAsiaTheme="minorEastAsia" w:hAnsiTheme="minorHAnsi" w:cstheme="minorBidi" w:hint="eastAsia"/>
                <w:szCs w:val="22"/>
                <w:lang w:val="en-US" w:bidi="ar-SA"/>
              </w:rPr>
              <w:t>研究</w:t>
            </w:r>
            <w:r w:rsidR="00394118">
              <w:rPr>
                <w:rFonts w:ascii="Times New Roman" w:eastAsiaTheme="minorEastAsia" w:hAnsiTheme="minorHAnsi" w:cstheme="minorBidi" w:hint="eastAsia"/>
                <w:szCs w:val="22"/>
                <w:lang w:val="en-US" w:bidi="ar-SA"/>
              </w:rPr>
              <w:t>提供了重要的数据支撑，为</w:t>
            </w:r>
            <w:r w:rsidR="00394118">
              <w:rPr>
                <w:rFonts w:ascii="Times New Roman" w:eastAsiaTheme="minorEastAsia" w:hAnsiTheme="minorHAnsi" w:cstheme="minorBidi" w:hint="eastAsia"/>
                <w:szCs w:val="22"/>
                <w:lang w:val="en-US" w:bidi="ar-SA"/>
              </w:rPr>
              <w:t>CT</w:t>
            </w:r>
            <w:r w:rsidR="00394118">
              <w:rPr>
                <w:rFonts w:ascii="Times New Roman" w:eastAsiaTheme="minorEastAsia" w:hAnsiTheme="minorHAnsi" w:cstheme="minorBidi" w:hint="eastAsia"/>
                <w:szCs w:val="22"/>
                <w:lang w:val="en-US" w:bidi="ar-SA"/>
              </w:rPr>
              <w:t>加料过程中的等离子环和托卡马克等离子耦合过程中物理模型提供了的实验验证手段。</w:t>
            </w:r>
          </w:p>
          <w:p w14:paraId="619D67C3" w14:textId="39800C61" w:rsidR="00CD01AB" w:rsidRPr="00CE19F8" w:rsidRDefault="00CD01AB" w:rsidP="00CE19F8">
            <w:pPr>
              <w:pStyle w:val="TableParagraph"/>
              <w:numPr>
                <w:ilvl w:val="0"/>
                <w:numId w:val="1"/>
              </w:numPr>
              <w:jc w:val="center"/>
              <w:rPr>
                <w:rFonts w:ascii="Times New Roman"/>
                <w:b/>
                <w:bCs/>
                <w:sz w:val="24"/>
                <w:szCs w:val="28"/>
                <w:lang w:val="en-US"/>
              </w:rPr>
            </w:pPr>
            <w:r>
              <w:rPr>
                <w:rFonts w:ascii="Times New Roman" w:eastAsiaTheme="minorEastAsia" w:hAnsiTheme="minorHAnsi" w:cstheme="minorBidi" w:hint="eastAsia"/>
                <w:szCs w:val="22"/>
                <w:lang w:val="en-US" w:bidi="ar-SA"/>
              </w:rPr>
              <w:t xml:space="preserve">   </w:t>
            </w:r>
            <w:r w:rsidR="00CE19F8">
              <w:rPr>
                <w:rFonts w:ascii="Times New Roman" w:hint="eastAsia"/>
                <w:b/>
                <w:bCs/>
                <w:sz w:val="24"/>
                <w:szCs w:val="28"/>
                <w:lang w:val="en-US"/>
              </w:rPr>
              <w:t>核心部件设计方案</w:t>
            </w:r>
          </w:p>
          <w:p w14:paraId="02D797C8" w14:textId="76F58D60" w:rsidR="00AB168F" w:rsidRDefault="003C7CBB">
            <w:pPr>
              <w:pStyle w:val="TableParagraph"/>
              <w:rPr>
                <w:rFonts w:ascii="Times New Roman" w:eastAsiaTheme="minorEastAsia" w:hAnsiTheme="minorHAnsi" w:cstheme="minorBidi"/>
                <w:b/>
                <w:bCs/>
                <w:szCs w:val="22"/>
                <w:lang w:val="en-US" w:bidi="ar-SA"/>
              </w:rPr>
            </w:pPr>
            <w:r>
              <w:rPr>
                <w:rFonts w:ascii="Times New Roman" w:eastAsiaTheme="minorEastAsia" w:hAnsiTheme="minorHAnsi" w:cstheme="minorBidi" w:hint="eastAsia"/>
                <w:b/>
                <w:bCs/>
                <w:szCs w:val="22"/>
                <w:lang w:val="en-US" w:bidi="ar-SA"/>
              </w:rPr>
              <w:t>任务需求</w:t>
            </w:r>
            <w:r w:rsidR="00381C1E">
              <w:rPr>
                <w:rFonts w:ascii="Times New Roman" w:eastAsiaTheme="minorEastAsia" w:hAnsiTheme="minorHAnsi" w:cstheme="minorBidi" w:hint="eastAsia"/>
                <w:b/>
                <w:bCs/>
                <w:szCs w:val="22"/>
                <w:lang w:val="en-US" w:bidi="ar-SA"/>
              </w:rPr>
              <w:t>：</w:t>
            </w:r>
          </w:p>
          <w:p w14:paraId="481A114D" w14:textId="570FEB96" w:rsidR="00CD01AB" w:rsidRPr="00CD01AB" w:rsidRDefault="00CD01AB">
            <w:pPr>
              <w:pStyle w:val="TableParagraph"/>
              <w:rPr>
                <w:rFonts w:ascii="Times New Roman" w:eastAsiaTheme="minorEastAsia" w:hAnsiTheme="minorHAnsi" w:cstheme="minorBidi"/>
                <w:szCs w:val="22"/>
                <w:lang w:val="en-US" w:bidi="ar-SA"/>
              </w:rPr>
            </w:pPr>
            <w:r>
              <w:rPr>
                <w:rFonts w:ascii="Times New Roman" w:eastAsiaTheme="minorEastAsia" w:hAnsiTheme="minorHAnsi" w:cstheme="minorBidi" w:hint="eastAsia"/>
                <w:b/>
                <w:bCs/>
                <w:szCs w:val="22"/>
                <w:lang w:val="en-US" w:bidi="ar-SA"/>
              </w:rPr>
              <w:t xml:space="preserve">    </w:t>
            </w:r>
            <w:r w:rsidRPr="00CD01AB">
              <w:rPr>
                <w:rFonts w:ascii="Times New Roman" w:eastAsiaTheme="minorEastAsia" w:hAnsiTheme="minorHAnsi" w:cstheme="minorBidi"/>
                <w:szCs w:val="22"/>
                <w:lang w:val="en-US" w:bidi="ar-SA"/>
              </w:rPr>
              <w:t>MIR</w:t>
            </w:r>
            <w:r w:rsidRPr="00CD01AB">
              <w:rPr>
                <w:rFonts w:ascii="Times New Roman" w:eastAsiaTheme="minorEastAsia" w:hAnsiTheme="minorHAnsi" w:cstheme="minorBidi"/>
                <w:szCs w:val="22"/>
                <w:lang w:val="en-US" w:bidi="ar-SA"/>
              </w:rPr>
              <w:t>的微波为系统主动发射的多频率信号，通过照明光路对微波波前曲率调节实现和等离子体截止层曲率匹配，这样反射的微波信号才能避免多普勒效应对相位的影响，同时实现最大反射信号强度，提高成像质量。反射信号经过接收光路投影在天线位置，通过天线上二极管混频降频后进入</w:t>
            </w:r>
            <w:r w:rsidRPr="00CD01AB">
              <w:rPr>
                <w:rFonts w:ascii="Times New Roman" w:eastAsiaTheme="minorEastAsia" w:hAnsiTheme="minorHAnsi" w:cstheme="minorBidi"/>
                <w:szCs w:val="22"/>
                <w:lang w:val="en-US" w:bidi="ar-SA"/>
              </w:rPr>
              <w:t xml:space="preserve"> </w:t>
            </w:r>
            <w:r w:rsidRPr="00CD01AB">
              <w:rPr>
                <w:rFonts w:ascii="Times New Roman" w:eastAsiaTheme="minorEastAsia" w:hAnsiTheme="minorHAnsi" w:cstheme="minorBidi"/>
                <w:szCs w:val="22"/>
                <w:lang w:val="en-US" w:bidi="ar-SA"/>
              </w:rPr>
              <w:t>中频系统实现对微波信号</w:t>
            </w:r>
            <w:r w:rsidRPr="00CD01AB">
              <w:rPr>
                <w:rFonts w:ascii="Times New Roman" w:eastAsiaTheme="minorEastAsia" w:hAnsiTheme="minorHAnsi" w:cstheme="minorBidi"/>
                <w:szCs w:val="22"/>
                <w:lang w:val="en-US" w:bidi="ar-SA"/>
              </w:rPr>
              <w:t>IQ</w:t>
            </w:r>
            <w:r w:rsidRPr="00CD01AB">
              <w:rPr>
                <w:rFonts w:ascii="Times New Roman" w:eastAsiaTheme="minorEastAsia" w:hAnsiTheme="minorHAnsi" w:cstheme="minorBidi"/>
                <w:szCs w:val="22"/>
                <w:lang w:val="en-US" w:bidi="ar-SA"/>
              </w:rPr>
              <w:t>鉴相，获得相位波动信息。不同极向位置的天线对应不同极向位置的截止层位置，不同频率的微波信号对应不同截止层的径向位置，通过这种二维探测阵列实现对密度波动的二维成像。</w:t>
            </w:r>
            <w:r w:rsidRPr="00CD01AB">
              <w:rPr>
                <w:rFonts w:ascii="Times New Roman" w:eastAsiaTheme="minorEastAsia" w:hAnsiTheme="minorHAnsi" w:cstheme="minorBidi"/>
                <w:szCs w:val="22"/>
                <w:lang w:val="en-US" w:bidi="ar-SA"/>
              </w:rPr>
              <w:t xml:space="preserve"> </w:t>
            </w:r>
            <w:r w:rsidRPr="00CD01AB">
              <w:rPr>
                <w:rFonts w:ascii="Times New Roman" w:eastAsiaTheme="minorEastAsia" w:hAnsiTheme="minorHAnsi" w:cstheme="minorBidi"/>
                <w:szCs w:val="22"/>
                <w:lang w:val="en-US" w:bidi="ar-SA"/>
              </w:rPr>
              <w:t>大口径高斯光学透镜不论在</w:t>
            </w:r>
            <w:r w:rsidR="00EF498A">
              <w:rPr>
                <w:rFonts w:ascii="Times New Roman" w:eastAsiaTheme="minorEastAsia" w:hAnsiTheme="minorHAnsi" w:cstheme="minorBidi" w:hint="eastAsia"/>
                <w:szCs w:val="22"/>
                <w:lang w:val="en-US" w:bidi="ar-SA"/>
              </w:rPr>
              <w:t>电子回旋辐射成像（</w:t>
            </w:r>
            <w:r w:rsidRPr="00CD01AB">
              <w:rPr>
                <w:rFonts w:ascii="Times New Roman" w:eastAsiaTheme="minorEastAsia" w:hAnsiTheme="minorHAnsi" w:cstheme="minorBidi"/>
                <w:szCs w:val="22"/>
                <w:lang w:val="en-US" w:bidi="ar-SA"/>
              </w:rPr>
              <w:t>ECEI</w:t>
            </w:r>
            <w:r w:rsidR="00EF498A">
              <w:rPr>
                <w:rFonts w:ascii="Times New Roman" w:eastAsiaTheme="minorEastAsia" w:hAnsiTheme="minorHAnsi" w:cstheme="minorBidi" w:hint="eastAsia"/>
                <w:szCs w:val="22"/>
                <w:lang w:val="en-US" w:bidi="ar-SA"/>
              </w:rPr>
              <w:t>）</w:t>
            </w:r>
            <w:r w:rsidRPr="00CD01AB">
              <w:rPr>
                <w:rFonts w:ascii="Times New Roman" w:eastAsiaTheme="minorEastAsia" w:hAnsiTheme="minorHAnsi" w:cstheme="minorBidi"/>
                <w:szCs w:val="22"/>
                <w:lang w:val="en-US" w:bidi="ar-SA"/>
              </w:rPr>
              <w:t>还是</w:t>
            </w:r>
            <w:r w:rsidRPr="00CD01AB">
              <w:rPr>
                <w:rFonts w:ascii="Times New Roman" w:eastAsiaTheme="minorEastAsia" w:hAnsiTheme="minorHAnsi" w:cstheme="minorBidi"/>
                <w:szCs w:val="22"/>
                <w:lang w:val="en-US" w:bidi="ar-SA"/>
              </w:rPr>
              <w:t>MIR</w:t>
            </w:r>
            <w:r w:rsidRPr="00CD01AB">
              <w:rPr>
                <w:rFonts w:ascii="Times New Roman" w:eastAsiaTheme="minorEastAsia" w:hAnsiTheme="minorHAnsi" w:cstheme="minorBidi"/>
                <w:szCs w:val="22"/>
                <w:lang w:val="en-US" w:bidi="ar-SA"/>
              </w:rPr>
              <w:t>系统中都承担着重要作用，通过多个透镜的组合可以实现对波前曲率、场曲、聚焦位置、景深等光学参数</w:t>
            </w:r>
            <w:r>
              <w:rPr>
                <w:rFonts w:ascii="Times New Roman" w:eastAsiaTheme="minorEastAsia" w:hAnsiTheme="minorHAnsi" w:cstheme="minorBidi" w:hint="eastAsia"/>
                <w:szCs w:val="22"/>
                <w:lang w:val="en-US" w:bidi="ar-SA"/>
              </w:rPr>
              <w:t>调节。</w:t>
            </w:r>
            <w:r w:rsidR="00EF498A">
              <w:rPr>
                <w:rFonts w:ascii="Times New Roman" w:eastAsiaTheme="minorEastAsia" w:hAnsiTheme="minorHAnsi" w:cstheme="minorBidi" w:hint="eastAsia"/>
                <w:szCs w:val="22"/>
                <w:lang w:val="en-US" w:bidi="ar-SA"/>
              </w:rPr>
              <w:t>本次</w:t>
            </w:r>
            <w:r>
              <w:rPr>
                <w:rFonts w:ascii="Times New Roman" w:eastAsiaTheme="minorEastAsia" w:hAnsiTheme="minorHAnsi" w:cstheme="minorBidi" w:hint="eastAsia"/>
                <w:szCs w:val="22"/>
                <w:lang w:val="en-US" w:bidi="ar-SA"/>
              </w:rPr>
              <w:t>研究主要分为：</w:t>
            </w:r>
          </w:p>
          <w:p w14:paraId="5B5308D1" w14:textId="0EF1591D" w:rsidR="00F01C75" w:rsidRPr="00B27062" w:rsidRDefault="00AB168F">
            <w:pPr>
              <w:pStyle w:val="TableParagraph"/>
              <w:rPr>
                <w:rFonts w:ascii="Times New Roman" w:eastAsiaTheme="minorEastAsia" w:hAnsiTheme="minorHAnsi" w:cstheme="minorBidi"/>
                <w:szCs w:val="22"/>
                <w:lang w:val="en-US" w:bidi="ar-SA"/>
              </w:rPr>
            </w:pPr>
            <w:r>
              <w:rPr>
                <w:rFonts w:ascii="Times New Roman" w:eastAsiaTheme="minorEastAsia" w:hAnsiTheme="minorHAnsi" w:cstheme="minorBidi" w:hint="eastAsia"/>
                <w:b/>
                <w:bCs/>
                <w:szCs w:val="22"/>
                <w:lang w:val="en-US" w:bidi="ar-SA"/>
              </w:rPr>
              <w:t>1.</w:t>
            </w:r>
            <w:r w:rsidR="00B81F8D">
              <w:rPr>
                <w:rFonts w:ascii="Times New Roman" w:eastAsiaTheme="minorEastAsia" w:hAnsiTheme="minorHAnsi" w:cstheme="minorBidi" w:hint="eastAsia"/>
                <w:szCs w:val="22"/>
                <w:lang w:val="en-US" w:bidi="ar-SA"/>
              </w:rPr>
              <w:t>MIR</w:t>
            </w:r>
            <w:r w:rsidR="00EF498A">
              <w:rPr>
                <w:rFonts w:ascii="Times New Roman" w:eastAsiaTheme="minorEastAsia" w:hAnsiTheme="minorHAnsi" w:cstheme="minorBidi" w:hint="eastAsia"/>
                <w:szCs w:val="22"/>
                <w:lang w:val="en-US" w:bidi="ar-SA"/>
              </w:rPr>
              <w:t>光学系统</w:t>
            </w:r>
            <w:r w:rsidR="003C7CBB">
              <w:rPr>
                <w:rFonts w:ascii="Times New Roman" w:eastAsiaTheme="minorEastAsia" w:hAnsiTheme="minorHAnsi" w:cstheme="minorBidi" w:hint="eastAsia"/>
                <w:szCs w:val="22"/>
                <w:lang w:val="en-US" w:bidi="ar-SA"/>
              </w:rPr>
              <w:t>研制</w:t>
            </w:r>
            <w:r w:rsidR="00F01C75">
              <w:rPr>
                <w:rFonts w:ascii="Times New Roman" w:eastAsiaTheme="minorEastAsia" w:hAnsiTheme="minorHAnsi" w:cstheme="minorBidi" w:hint="eastAsia"/>
                <w:szCs w:val="22"/>
                <w:lang w:val="en-US" w:bidi="ar-SA"/>
              </w:rPr>
              <w:t>：</w:t>
            </w:r>
            <w:r w:rsidR="00EF498A">
              <w:rPr>
                <w:rFonts w:ascii="Times New Roman" w:eastAsiaTheme="minorEastAsia" w:hAnsiTheme="minorHAnsi" w:cstheme="minorBidi" w:hint="eastAsia"/>
                <w:szCs w:val="22"/>
                <w:lang w:val="en-US" w:bidi="ar-SA"/>
              </w:rPr>
              <w:t>为</w:t>
            </w:r>
            <w:r w:rsidR="00F01C75">
              <w:rPr>
                <w:rFonts w:ascii="Times New Roman" w:eastAsiaTheme="minorEastAsia" w:hAnsiTheme="minorHAnsi" w:cstheme="minorBidi" w:hint="eastAsia"/>
                <w:szCs w:val="22"/>
                <w:lang w:val="en-US" w:bidi="ar-SA"/>
              </w:rPr>
              <w:t>实现密度波动成像诊断，需结合特定的光路，实现密度截至层和</w:t>
            </w:r>
            <w:r w:rsidR="0089097F">
              <w:rPr>
                <w:rFonts w:ascii="Times New Roman" w:eastAsiaTheme="minorEastAsia" w:hAnsiTheme="minorHAnsi" w:cstheme="minorBidi" w:hint="eastAsia"/>
                <w:szCs w:val="22"/>
                <w:lang w:val="en-US" w:bidi="ar-SA"/>
              </w:rPr>
              <w:t>发射</w:t>
            </w:r>
            <w:r w:rsidR="00F01C75">
              <w:rPr>
                <w:rFonts w:ascii="Times New Roman" w:eastAsiaTheme="minorEastAsia" w:hAnsiTheme="minorHAnsi" w:cstheme="minorBidi" w:hint="eastAsia"/>
                <w:szCs w:val="22"/>
                <w:lang w:val="en-US" w:bidi="ar-SA"/>
              </w:rPr>
              <w:t>波波前曲率匹配</w:t>
            </w:r>
            <w:r w:rsidR="0089097F">
              <w:rPr>
                <w:rFonts w:ascii="Times New Roman" w:eastAsiaTheme="minorEastAsia" w:hAnsiTheme="minorHAnsi" w:cstheme="minorBidi" w:hint="eastAsia"/>
                <w:szCs w:val="22"/>
                <w:lang w:val="en-US" w:bidi="ar-SA"/>
              </w:rPr>
              <w:t>以及接收光路和截止层的</w:t>
            </w:r>
            <w:r w:rsidR="00EF498A">
              <w:rPr>
                <w:rFonts w:ascii="Times New Roman" w:eastAsiaTheme="minorEastAsia" w:hAnsiTheme="minorHAnsi" w:cstheme="minorBidi" w:hint="eastAsia"/>
                <w:szCs w:val="22"/>
                <w:lang w:val="en-US" w:bidi="ar-SA"/>
              </w:rPr>
              <w:t>匹配</w:t>
            </w:r>
            <w:r w:rsidR="0089097F">
              <w:rPr>
                <w:rFonts w:ascii="Times New Roman" w:eastAsiaTheme="minorEastAsia" w:hAnsiTheme="minorHAnsi" w:cstheme="minorBidi" w:hint="eastAsia"/>
                <w:szCs w:val="22"/>
                <w:lang w:val="en-US" w:bidi="ar-SA"/>
              </w:rPr>
              <w:t>。光学需要具有灵活的调节能力以适应不同的密度磁场环境，不同的物理过程观测要求。于此同时，对光学透镜在有限</w:t>
            </w:r>
            <w:r>
              <w:rPr>
                <w:rFonts w:ascii="Times New Roman" w:eastAsiaTheme="minorEastAsia" w:hAnsiTheme="minorHAnsi" w:cstheme="minorBidi" w:hint="eastAsia"/>
                <w:szCs w:val="22"/>
                <w:lang w:val="en-US" w:bidi="ar-SA"/>
              </w:rPr>
              <w:t>诊断</w:t>
            </w:r>
            <w:r w:rsidR="0089097F">
              <w:rPr>
                <w:rFonts w:ascii="Times New Roman" w:eastAsiaTheme="minorEastAsia" w:hAnsiTheme="minorHAnsi" w:cstheme="minorBidi" w:hint="eastAsia"/>
                <w:szCs w:val="22"/>
                <w:lang w:val="en-US" w:bidi="ar-SA"/>
              </w:rPr>
              <w:t>空间的</w:t>
            </w:r>
            <w:r>
              <w:rPr>
                <w:rFonts w:ascii="Times New Roman" w:eastAsiaTheme="minorEastAsia" w:hAnsiTheme="minorHAnsi" w:cstheme="minorBidi" w:hint="eastAsia"/>
                <w:szCs w:val="22"/>
                <w:lang w:val="en-US" w:bidi="ar-SA"/>
              </w:rPr>
              <w:t>安装</w:t>
            </w:r>
            <w:r w:rsidR="0089097F">
              <w:rPr>
                <w:rFonts w:ascii="Times New Roman" w:eastAsiaTheme="minorEastAsia" w:hAnsiTheme="minorHAnsi" w:cstheme="minorBidi" w:hint="eastAsia"/>
                <w:szCs w:val="22"/>
                <w:lang w:val="en-US" w:bidi="ar-SA"/>
              </w:rPr>
              <w:t>也提出一定的要求，需要在光学透镜的重量，体积以及安装的可操作性做出优化。</w:t>
            </w:r>
            <w:r w:rsidR="00B27062" w:rsidRPr="00B27062">
              <w:rPr>
                <w:rFonts w:ascii="Times New Roman" w:eastAsiaTheme="minorEastAsia" w:hAnsiTheme="minorHAnsi" w:cstheme="minorBidi" w:hint="eastAsia"/>
                <w:b/>
                <w:bCs/>
                <w:szCs w:val="22"/>
                <w:lang w:val="en-US" w:bidi="ar-SA"/>
              </w:rPr>
              <w:t>2.</w:t>
            </w:r>
            <w:r w:rsidR="00B27062">
              <w:rPr>
                <w:rFonts w:ascii="Times New Roman" w:eastAsiaTheme="minorEastAsia" w:hAnsiTheme="minorHAnsi" w:cstheme="minorBidi" w:hint="eastAsia"/>
                <w:b/>
                <w:bCs/>
                <w:szCs w:val="22"/>
                <w:lang w:val="en-US" w:bidi="ar-SA"/>
              </w:rPr>
              <w:t xml:space="preserve"> </w:t>
            </w:r>
            <w:r w:rsidRPr="00AB168F">
              <w:rPr>
                <w:rFonts w:ascii="Times New Roman" w:eastAsiaTheme="minorEastAsia" w:hAnsiTheme="minorHAnsi" w:cstheme="minorBidi" w:hint="eastAsia"/>
                <w:szCs w:val="22"/>
                <w:lang w:val="en-US" w:bidi="ar-SA"/>
              </w:rPr>
              <w:t>探针系统：</w:t>
            </w:r>
            <w:r w:rsidR="00E170B6">
              <w:rPr>
                <w:rFonts w:ascii="Times New Roman" w:eastAsiaTheme="minorEastAsia" w:hAnsiTheme="minorHAnsi" w:cstheme="minorBidi" w:hint="eastAsia"/>
                <w:szCs w:val="22"/>
                <w:lang w:val="en-US" w:bidi="ar-SA"/>
              </w:rPr>
              <w:t>用于测量等离子体环电子</w:t>
            </w:r>
            <w:r w:rsidR="00E170B6">
              <w:rPr>
                <w:rFonts w:ascii="Times New Roman" w:eastAsiaTheme="minorEastAsia" w:hAnsiTheme="minorHAnsi" w:cstheme="minorBidi" w:hint="eastAsia"/>
                <w:szCs w:val="22"/>
                <w:lang w:val="en-US" w:bidi="ar-SA"/>
              </w:rPr>
              <w:t>/</w:t>
            </w:r>
            <w:r w:rsidR="00E170B6">
              <w:rPr>
                <w:rFonts w:ascii="Times New Roman" w:eastAsiaTheme="minorEastAsia" w:hAnsiTheme="minorHAnsi" w:cstheme="minorBidi" w:hint="eastAsia"/>
                <w:szCs w:val="22"/>
                <w:lang w:val="en-US" w:bidi="ar-SA"/>
              </w:rPr>
              <w:t>离子密度</w:t>
            </w:r>
            <w:r w:rsidR="00B27062">
              <w:rPr>
                <w:rFonts w:ascii="Times New Roman" w:eastAsiaTheme="minorEastAsia" w:hAnsiTheme="minorHAnsi" w:cstheme="minorBidi" w:hint="eastAsia"/>
                <w:szCs w:val="22"/>
                <w:lang w:val="en-US" w:bidi="ar-SA"/>
              </w:rPr>
              <w:t>，可用于研究托卡马克特定区间密度波动和</w:t>
            </w:r>
            <w:r w:rsidR="00B27062">
              <w:rPr>
                <w:rFonts w:ascii="Times New Roman" w:eastAsiaTheme="minorEastAsia" w:hAnsiTheme="minorHAnsi" w:cstheme="minorBidi" w:hint="eastAsia"/>
                <w:szCs w:val="22"/>
                <w:lang w:val="en-US" w:bidi="ar-SA"/>
              </w:rPr>
              <w:t>CT</w:t>
            </w:r>
            <w:r w:rsidR="00B27062">
              <w:rPr>
                <w:rFonts w:ascii="Times New Roman" w:eastAsiaTheme="minorEastAsia" w:hAnsiTheme="minorHAnsi" w:cstheme="minorBidi" w:hint="eastAsia"/>
                <w:szCs w:val="22"/>
                <w:lang w:val="en-US" w:bidi="ar-SA"/>
              </w:rPr>
              <w:t>注入</w:t>
            </w:r>
            <w:r w:rsidR="00EF498A">
              <w:rPr>
                <w:rFonts w:ascii="Times New Roman" w:eastAsiaTheme="minorEastAsia" w:hAnsiTheme="minorHAnsi" w:cstheme="minorBidi" w:hint="eastAsia"/>
                <w:szCs w:val="22"/>
                <w:lang w:val="en-US" w:bidi="ar-SA"/>
              </w:rPr>
              <w:t>等离子体</w:t>
            </w:r>
            <w:r w:rsidR="00CD01AB">
              <w:rPr>
                <w:rFonts w:ascii="Times New Roman" w:eastAsiaTheme="minorEastAsia" w:hAnsiTheme="minorHAnsi" w:cstheme="minorBidi" w:hint="eastAsia"/>
                <w:szCs w:val="22"/>
                <w:lang w:val="en-US" w:bidi="ar-SA"/>
              </w:rPr>
              <w:t>密度</w:t>
            </w:r>
            <w:r w:rsidR="00B27062">
              <w:rPr>
                <w:rFonts w:ascii="Times New Roman" w:eastAsiaTheme="minorEastAsia" w:hAnsiTheme="minorHAnsi" w:cstheme="minorBidi" w:hint="eastAsia"/>
                <w:szCs w:val="22"/>
                <w:lang w:val="en-US" w:bidi="ar-SA"/>
              </w:rPr>
              <w:t>之间的关系</w:t>
            </w:r>
            <w:r w:rsidR="00E170B6">
              <w:rPr>
                <w:rFonts w:ascii="Times New Roman" w:eastAsiaTheme="minorEastAsia" w:hAnsiTheme="minorHAnsi" w:cstheme="minorBidi" w:hint="eastAsia"/>
                <w:szCs w:val="22"/>
                <w:lang w:val="en-US" w:bidi="ar-SA"/>
              </w:rPr>
              <w:t>。</w:t>
            </w:r>
            <w:r w:rsidR="006447E4">
              <w:rPr>
                <w:rFonts w:ascii="Times New Roman" w:eastAsiaTheme="minorEastAsia" w:hAnsiTheme="minorHAnsi" w:cstheme="minorBidi" w:hint="eastAsia"/>
                <w:szCs w:val="22"/>
                <w:lang w:val="en-US" w:bidi="ar-SA"/>
              </w:rPr>
              <w:t>初步设计</w:t>
            </w:r>
            <w:r w:rsidR="00B27062">
              <w:rPr>
                <w:rFonts w:ascii="Times New Roman" w:eastAsiaTheme="minorEastAsia" w:hAnsiTheme="minorHAnsi" w:cstheme="minorBidi" w:hint="eastAsia"/>
                <w:szCs w:val="22"/>
                <w:lang w:val="en-US" w:bidi="ar-SA"/>
              </w:rPr>
              <w:t>具体包括：</w:t>
            </w:r>
          </w:p>
          <w:p w14:paraId="65CA54CE" w14:textId="5AD65F09" w:rsidR="005F22BC" w:rsidRPr="006447E4" w:rsidRDefault="00000000" w:rsidP="006447E4">
            <w:pPr>
              <w:pStyle w:val="TableParagraph"/>
              <w:spacing w:beforeLines="50" w:before="156"/>
              <w:rPr>
                <w:rFonts w:ascii="Times New Roman"/>
                <w:b/>
                <w:bCs/>
                <w:szCs w:val="22"/>
                <w:lang w:val="en-US"/>
              </w:rPr>
            </w:pPr>
            <w:r>
              <w:rPr>
                <w:rFonts w:ascii="Times New Roman" w:hint="eastAsia"/>
                <w:b/>
                <w:bCs/>
                <w:szCs w:val="22"/>
                <w:lang w:val="en-US"/>
              </w:rPr>
              <w:t>1.1</w:t>
            </w:r>
            <w:r w:rsidR="00B27062">
              <w:rPr>
                <w:rFonts w:ascii="Times New Roman" w:hint="eastAsia"/>
                <w:b/>
                <w:bCs/>
                <w:szCs w:val="22"/>
                <w:lang w:val="en-US"/>
              </w:rPr>
              <w:t>等离子体截止层评估</w:t>
            </w:r>
          </w:p>
          <w:p w14:paraId="121A897A" w14:textId="4DCBF021" w:rsidR="00B27062" w:rsidRDefault="006447E4" w:rsidP="00B27062">
            <w:pPr>
              <w:ind w:firstLineChars="200" w:firstLine="420"/>
              <w:rPr>
                <w:rFonts w:ascii="Times New Roman"/>
                <w:szCs w:val="22"/>
              </w:rPr>
            </w:pPr>
            <w:r>
              <w:rPr>
                <w:rFonts w:ascii="Times New Roman" w:hint="eastAsia"/>
                <w:szCs w:val="22"/>
              </w:rPr>
              <w:t>如前文所述，等离子体截止层决定了光学设计的具体指标，即发射光路的波前曲率要求和接收光路的接收角度要求。</w:t>
            </w:r>
            <w:r w:rsidR="00B27062">
              <w:rPr>
                <w:rFonts w:ascii="Times New Roman" w:hint="eastAsia"/>
                <w:szCs w:val="22"/>
              </w:rPr>
              <w:t>等离子体截止层主要由</w:t>
            </w:r>
            <w:r>
              <w:rPr>
                <w:rFonts w:ascii="Times New Roman" w:hint="eastAsia"/>
                <w:szCs w:val="22"/>
              </w:rPr>
              <w:t>密度分布、磁场分布决定</w:t>
            </w:r>
            <w:r w:rsidR="00EF498A">
              <w:rPr>
                <w:rFonts w:ascii="Times New Roman" w:hint="eastAsia"/>
                <w:szCs w:val="22"/>
              </w:rPr>
              <w:t>。</w:t>
            </w:r>
            <w:r>
              <w:rPr>
                <w:rFonts w:ascii="Times New Roman" w:hint="eastAsia"/>
                <w:szCs w:val="22"/>
              </w:rPr>
              <w:t xml:space="preserve"> </w:t>
            </w:r>
            <w:r>
              <w:rPr>
                <w:rFonts w:ascii="Times New Roman" w:hint="eastAsia"/>
                <w:szCs w:val="22"/>
              </w:rPr>
              <w:t>可通过</w:t>
            </w:r>
            <w:proofErr w:type="spellStart"/>
            <w:r>
              <w:rPr>
                <w:rFonts w:ascii="Times New Roman" w:hint="eastAsia"/>
                <w:szCs w:val="22"/>
              </w:rPr>
              <w:t>efit</w:t>
            </w:r>
            <w:proofErr w:type="spellEnd"/>
            <w:r>
              <w:rPr>
                <w:rFonts w:ascii="Times New Roman" w:hint="eastAsia"/>
                <w:szCs w:val="22"/>
              </w:rPr>
              <w:t>数据获取磁面信息，并假设相同磁面上密度相同，同时根据</w:t>
            </w:r>
            <w:r w:rsidR="00EF498A">
              <w:rPr>
                <w:rFonts w:ascii="Times New Roman" w:hint="eastAsia"/>
                <w:szCs w:val="22"/>
              </w:rPr>
              <w:t>干涉仪</w:t>
            </w:r>
            <w:r>
              <w:rPr>
                <w:rFonts w:ascii="Times New Roman" w:hint="eastAsia"/>
                <w:szCs w:val="22"/>
              </w:rPr>
              <w:t>数据获取径向密度分布信息，结合密度径向拟合并通过磁面信息延拓至整个极向密度剖面分布。</w:t>
            </w:r>
            <w:r>
              <w:rPr>
                <w:rFonts w:ascii="Times New Roman" w:hint="eastAsia"/>
                <w:szCs w:val="22"/>
              </w:rPr>
              <w:t xml:space="preserve"> </w:t>
            </w:r>
            <w:r>
              <w:rPr>
                <w:rFonts w:ascii="Times New Roman" w:hint="eastAsia"/>
                <w:szCs w:val="22"/>
              </w:rPr>
              <w:t>同时</w:t>
            </w:r>
            <w:proofErr w:type="spellStart"/>
            <w:r>
              <w:rPr>
                <w:rFonts w:ascii="Times New Roman" w:hint="eastAsia"/>
                <w:szCs w:val="22"/>
              </w:rPr>
              <w:t>efit</w:t>
            </w:r>
            <w:proofErr w:type="spellEnd"/>
            <w:r>
              <w:rPr>
                <w:rFonts w:ascii="Times New Roman" w:hint="eastAsia"/>
                <w:szCs w:val="22"/>
              </w:rPr>
              <w:t xml:space="preserve"> </w:t>
            </w:r>
            <w:r>
              <w:rPr>
                <w:rFonts w:ascii="Times New Roman" w:hint="eastAsia"/>
                <w:szCs w:val="22"/>
              </w:rPr>
              <w:t>数据可通过磁通</w:t>
            </w:r>
            <w:r>
              <w:rPr>
                <w:rFonts w:ascii="Times New Roman" w:hint="eastAsia"/>
                <w:szCs w:val="22"/>
              </w:rPr>
              <w:lastRenderedPageBreak/>
              <w:t>信息获取整个托卡马克等离子体</w:t>
            </w:r>
            <w:r w:rsidR="00153C22">
              <w:rPr>
                <w:rFonts w:ascii="Times New Roman" w:hint="eastAsia"/>
                <w:szCs w:val="22"/>
              </w:rPr>
              <w:t>极向</w:t>
            </w:r>
            <w:r w:rsidR="00EF498A">
              <w:rPr>
                <w:rFonts w:ascii="Times New Roman" w:hint="eastAsia"/>
                <w:szCs w:val="22"/>
              </w:rPr>
              <w:t>磁场强度</w:t>
            </w:r>
            <w:r w:rsidR="00153C22">
              <w:rPr>
                <w:rFonts w:ascii="Times New Roman" w:hint="eastAsia"/>
                <w:szCs w:val="22"/>
              </w:rPr>
              <w:t>剖面分布。</w:t>
            </w:r>
            <w:r w:rsidR="00153C22">
              <w:rPr>
                <w:rFonts w:ascii="Times New Roman" w:hint="eastAsia"/>
                <w:szCs w:val="22"/>
              </w:rPr>
              <w:t xml:space="preserve"> </w:t>
            </w:r>
            <w:r w:rsidR="00EF498A">
              <w:rPr>
                <w:rFonts w:ascii="Times New Roman" w:hint="eastAsia"/>
                <w:szCs w:val="22"/>
              </w:rPr>
              <w:t>在</w:t>
            </w:r>
            <w:r w:rsidR="00153C22">
              <w:rPr>
                <w:rFonts w:ascii="Times New Roman" w:hint="eastAsia"/>
                <w:szCs w:val="22"/>
              </w:rPr>
              <w:t>获取了密度分布信息和磁场分布信息后，根据右旋截止频率，可获取不同频率下截止层形状。针对截止层形状，设置对应的光学透镜，实现特定区间下密度波动观测。</w:t>
            </w:r>
          </w:p>
          <w:p w14:paraId="56704BAF" w14:textId="11D519BA" w:rsidR="005F4BDC" w:rsidRDefault="00784998" w:rsidP="005F4BDC">
            <w:pPr>
              <w:keepNext/>
              <w:ind w:firstLineChars="200" w:firstLine="420"/>
            </w:pPr>
            <w:r w:rsidRPr="00784998">
              <w:drawing>
                <wp:inline distT="0" distB="0" distL="0" distR="0" wp14:anchorId="3748BE9A" wp14:editId="1038F200">
                  <wp:extent cx="3960530" cy="1648460"/>
                  <wp:effectExtent l="0" t="0" r="1905" b="0"/>
                  <wp:docPr id="3" name="Picture 2">
                    <a:extLst xmlns:a="http://schemas.openxmlformats.org/drawingml/2006/main">
                      <a:ext uri="{FF2B5EF4-FFF2-40B4-BE49-F238E27FC236}">
                        <a16:creationId xmlns:a16="http://schemas.microsoft.com/office/drawing/2014/main" id="{7C7A3BEB-3265-6A2D-DA2B-4967131EB1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C7A3BEB-3265-6A2D-DA2B-4967131EB1BF}"/>
                              </a:ext>
                            </a:extLst>
                          </pic:cNvPr>
                          <pic:cNvPicPr>
                            <a:picLocks noChangeAspect="1"/>
                          </pic:cNvPicPr>
                        </pic:nvPicPr>
                        <pic:blipFill rotWithShape="1">
                          <a:blip r:embed="rId5"/>
                          <a:srcRect r="8279"/>
                          <a:stretch>
                            <a:fillRect/>
                          </a:stretch>
                        </pic:blipFill>
                        <pic:spPr bwMode="auto">
                          <a:xfrm>
                            <a:off x="0" y="0"/>
                            <a:ext cx="3960530" cy="1648460"/>
                          </a:xfrm>
                          <a:prstGeom prst="rect">
                            <a:avLst/>
                          </a:prstGeom>
                          <a:ln>
                            <a:noFill/>
                          </a:ln>
                          <a:extLst>
                            <a:ext uri="{53640926-AAD7-44D8-BBD7-CCE9431645EC}">
                              <a14:shadowObscured xmlns:a14="http://schemas.microsoft.com/office/drawing/2010/main"/>
                            </a:ext>
                          </a:extLst>
                        </pic:spPr>
                      </pic:pic>
                    </a:graphicData>
                  </a:graphic>
                </wp:inline>
              </w:drawing>
            </w:r>
          </w:p>
          <w:p w14:paraId="2D145B2E" w14:textId="2CB07D19" w:rsidR="005F4BDC" w:rsidRDefault="005F4BDC" w:rsidP="005F4BDC">
            <w:pPr>
              <w:pStyle w:val="Caption"/>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84998">
              <w:rPr>
                <w:noProof/>
              </w:rPr>
              <w:t>1</w:t>
            </w:r>
            <w:r>
              <w:fldChar w:fldCharType="end"/>
            </w:r>
            <w:r>
              <w:rPr>
                <w:rFonts w:hint="eastAsia"/>
              </w:rPr>
              <w:t xml:space="preserve">. MIR </w:t>
            </w:r>
            <w:r>
              <w:rPr>
                <w:rFonts w:hint="eastAsia"/>
              </w:rPr>
              <w:t>发射光路示意图</w:t>
            </w:r>
          </w:p>
          <w:p w14:paraId="5099C5A0" w14:textId="20B544D8" w:rsidR="005F4BDC" w:rsidRDefault="008C11BC" w:rsidP="008C11BC">
            <w:pPr>
              <w:rPr>
                <w:rFonts w:ascii="Times New Roman"/>
                <w:szCs w:val="22"/>
              </w:rPr>
            </w:pPr>
            <w:r>
              <w:rPr>
                <w:rFonts w:ascii="Times New Roman" w:hint="eastAsia"/>
                <w:szCs w:val="22"/>
              </w:rPr>
              <w:t xml:space="preserve">1.2 </w:t>
            </w:r>
            <w:r>
              <w:rPr>
                <w:rFonts w:ascii="Times New Roman" w:hint="eastAsia"/>
                <w:szCs w:val="22"/>
              </w:rPr>
              <w:t>光学透镜设计</w:t>
            </w:r>
          </w:p>
          <w:p w14:paraId="3D359CF4" w14:textId="234D5DAA" w:rsidR="00D53BF7" w:rsidRDefault="00DF4C81" w:rsidP="008C11BC">
            <w:pPr>
              <w:rPr>
                <w:rFonts w:ascii="Times New Roman"/>
                <w:szCs w:val="22"/>
              </w:rPr>
            </w:pPr>
            <w:r>
              <w:rPr>
                <w:rFonts w:ascii="Times New Roman" w:hint="eastAsia"/>
                <w:szCs w:val="22"/>
              </w:rPr>
              <w:t xml:space="preserve">   </w:t>
            </w:r>
            <w:r w:rsidRPr="00DF4C81">
              <w:rPr>
                <w:rFonts w:ascii="Times New Roman" w:hint="eastAsia"/>
                <w:szCs w:val="22"/>
              </w:rPr>
              <w:t>由于</w:t>
            </w:r>
            <w:r w:rsidRPr="00DF4C81">
              <w:rPr>
                <w:rFonts w:ascii="Times New Roman" w:hint="eastAsia"/>
                <w:szCs w:val="22"/>
              </w:rPr>
              <w:t xml:space="preserve"> MIR </w:t>
            </w:r>
            <w:r w:rsidRPr="00DF4C81">
              <w:rPr>
                <w:rFonts w:ascii="Times New Roman" w:hint="eastAsia"/>
                <w:szCs w:val="22"/>
              </w:rPr>
              <w:t>诊断旨在获取等离子体二维密度涨落分布，因此光学系统需实现对反射波前的高保真成像。为确保不同径向</w:t>
            </w:r>
            <w:r w:rsidRPr="00DF4C81">
              <w:rPr>
                <w:rFonts w:ascii="Times New Roman" w:hint="eastAsia"/>
                <w:szCs w:val="22"/>
              </w:rPr>
              <w:t xml:space="preserve"> cutoff </w:t>
            </w:r>
            <w:r w:rsidRPr="00DF4C81">
              <w:rPr>
                <w:rFonts w:ascii="Times New Roman" w:hint="eastAsia"/>
                <w:szCs w:val="22"/>
              </w:rPr>
              <w:t>层的成像质量，系统必须具备三项基本能力：（</w:t>
            </w:r>
            <w:r w:rsidRPr="00DF4C81">
              <w:rPr>
                <w:rFonts w:ascii="Times New Roman" w:hint="eastAsia"/>
                <w:szCs w:val="22"/>
              </w:rPr>
              <w:t>1</w:t>
            </w:r>
            <w:r w:rsidRPr="00DF4C81">
              <w:rPr>
                <w:rFonts w:ascii="Times New Roman" w:hint="eastAsia"/>
                <w:szCs w:val="22"/>
              </w:rPr>
              <w:t>）通过发射光路调节入射波前的曲率，使探测波在不同磁场与等离子体条件下均能以近似垂直方式入射</w:t>
            </w:r>
            <w:r w:rsidRPr="00DF4C81">
              <w:rPr>
                <w:rFonts w:ascii="Times New Roman" w:hint="eastAsia"/>
                <w:szCs w:val="22"/>
              </w:rPr>
              <w:t xml:space="preserve"> cutoff </w:t>
            </w:r>
            <w:r w:rsidRPr="00DF4C81">
              <w:rPr>
                <w:rFonts w:ascii="Times New Roman" w:hint="eastAsia"/>
                <w:szCs w:val="22"/>
              </w:rPr>
              <w:t>面；（</w:t>
            </w:r>
            <w:r w:rsidRPr="00DF4C81">
              <w:rPr>
                <w:rFonts w:ascii="Times New Roman" w:hint="eastAsia"/>
                <w:szCs w:val="22"/>
              </w:rPr>
              <w:t>2</w:t>
            </w:r>
            <w:r w:rsidRPr="00DF4C81">
              <w:rPr>
                <w:rFonts w:ascii="Times New Roman" w:hint="eastAsia"/>
                <w:szCs w:val="22"/>
              </w:rPr>
              <w:t>）</w:t>
            </w:r>
            <w:proofErr w:type="gramStart"/>
            <w:r w:rsidRPr="00DF4C81">
              <w:rPr>
                <w:rFonts w:ascii="Times New Roman" w:hint="eastAsia"/>
                <w:szCs w:val="22"/>
              </w:rPr>
              <w:t>利用场</w:t>
            </w:r>
            <w:proofErr w:type="gramEnd"/>
            <w:r w:rsidRPr="00DF4C81">
              <w:rPr>
                <w:rFonts w:ascii="Times New Roman" w:hint="eastAsia"/>
                <w:szCs w:val="22"/>
              </w:rPr>
              <w:t>曲率调节（</w:t>
            </w:r>
            <w:r w:rsidRPr="00DF4C81">
              <w:rPr>
                <w:rFonts w:ascii="Times New Roman" w:hint="eastAsia"/>
                <w:szCs w:val="22"/>
              </w:rPr>
              <w:t>Field Curvature Adjustment, FCA</w:t>
            </w:r>
            <w:r w:rsidRPr="00DF4C81">
              <w:rPr>
                <w:rFonts w:ascii="Times New Roman" w:hint="eastAsia"/>
                <w:szCs w:val="22"/>
              </w:rPr>
              <w:t>）透镜反转并精确控制像面曲率，使其与</w:t>
            </w:r>
            <w:r w:rsidRPr="00DF4C81">
              <w:rPr>
                <w:rFonts w:ascii="Times New Roman" w:hint="eastAsia"/>
                <w:szCs w:val="22"/>
              </w:rPr>
              <w:t xml:space="preserve"> cutoff </w:t>
            </w:r>
            <w:r w:rsidRPr="00DF4C81">
              <w:rPr>
                <w:rFonts w:ascii="Times New Roman" w:hint="eastAsia"/>
                <w:szCs w:val="22"/>
              </w:rPr>
              <w:t>层的负曲率保持一致，以显著降低离焦误差；（</w:t>
            </w:r>
            <w:r w:rsidRPr="00DF4C81">
              <w:rPr>
                <w:rFonts w:ascii="Times New Roman" w:hint="eastAsia"/>
                <w:szCs w:val="22"/>
              </w:rPr>
              <w:t>3</w:t>
            </w:r>
            <w:r w:rsidRPr="00DF4C81">
              <w:rPr>
                <w:rFonts w:ascii="Times New Roman" w:hint="eastAsia"/>
                <w:szCs w:val="22"/>
              </w:rPr>
              <w:t>）通过焦点调节模块对径向成像位置进行校正，使不同频率对应的</w:t>
            </w:r>
            <w:r w:rsidRPr="00DF4C81">
              <w:rPr>
                <w:rFonts w:ascii="Times New Roman" w:hint="eastAsia"/>
                <w:szCs w:val="22"/>
              </w:rPr>
              <w:t xml:space="preserve"> cutoff </w:t>
            </w:r>
            <w:r w:rsidRPr="00DF4C81">
              <w:rPr>
                <w:rFonts w:ascii="Times New Roman" w:hint="eastAsia"/>
                <w:szCs w:val="22"/>
              </w:rPr>
              <w:t>深度始终位于最佳焦平面。</w:t>
            </w:r>
          </w:p>
          <w:p w14:paraId="2E611B5B" w14:textId="77777777" w:rsidR="00DF4C81" w:rsidRDefault="00DF4C81" w:rsidP="00DF4C81">
            <w:pPr>
              <w:keepNext/>
            </w:pPr>
            <w:r w:rsidRPr="00DF4C81">
              <w:rPr>
                <w:rFonts w:ascii="Times New Roman"/>
                <w:noProof/>
                <w:szCs w:val="22"/>
              </w:rPr>
              <w:drawing>
                <wp:inline distT="0" distB="0" distL="0" distR="0" wp14:anchorId="0CE8F152" wp14:editId="5F7E8ADD">
                  <wp:extent cx="4318000" cy="2722245"/>
                  <wp:effectExtent l="0" t="0" r="6350" b="1905"/>
                  <wp:docPr id="85051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18272" name=""/>
                          <pic:cNvPicPr/>
                        </pic:nvPicPr>
                        <pic:blipFill>
                          <a:blip r:embed="rId6"/>
                          <a:stretch>
                            <a:fillRect/>
                          </a:stretch>
                        </pic:blipFill>
                        <pic:spPr>
                          <a:xfrm>
                            <a:off x="0" y="0"/>
                            <a:ext cx="4318000" cy="2722245"/>
                          </a:xfrm>
                          <a:prstGeom prst="rect">
                            <a:avLst/>
                          </a:prstGeom>
                        </pic:spPr>
                      </pic:pic>
                    </a:graphicData>
                  </a:graphic>
                </wp:inline>
              </w:drawing>
            </w:r>
          </w:p>
          <w:p w14:paraId="2897D495" w14:textId="61E85B6B" w:rsidR="00DF4C81" w:rsidRPr="001C6AAB" w:rsidRDefault="00DF4C81" w:rsidP="001C6AAB">
            <w:pPr>
              <w:pStyle w:val="Caption"/>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84998">
              <w:rPr>
                <w:noProof/>
              </w:rPr>
              <w:t>2</w:t>
            </w:r>
            <w:r>
              <w:fldChar w:fldCharType="end"/>
            </w:r>
            <w:r>
              <w:rPr>
                <w:rFonts w:hint="eastAsia"/>
              </w:rPr>
              <w:t>。</w:t>
            </w:r>
            <w:r>
              <w:rPr>
                <w:rFonts w:hint="eastAsia"/>
              </w:rPr>
              <w:t xml:space="preserve"> </w:t>
            </w:r>
            <w:r>
              <w:rPr>
                <w:rFonts w:hint="eastAsia"/>
              </w:rPr>
              <w:t>发射光路波前曲率</w:t>
            </w:r>
            <w:r w:rsidR="001C6AAB">
              <w:rPr>
                <w:rFonts w:hint="eastAsia"/>
              </w:rPr>
              <w:t>需要设计与等离子体</w:t>
            </w:r>
            <w:r>
              <w:rPr>
                <w:rFonts w:hint="eastAsia"/>
              </w:rPr>
              <w:t>截止层</w:t>
            </w:r>
            <w:r w:rsidR="001C6AAB">
              <w:rPr>
                <w:rFonts w:hint="eastAsia"/>
              </w:rPr>
              <w:t>匹配。</w:t>
            </w:r>
            <w:r w:rsidR="001C6AAB">
              <w:t>R</w:t>
            </w:r>
            <w:r w:rsidR="001C6AAB">
              <w:rPr>
                <w:rFonts w:hint="eastAsia"/>
              </w:rPr>
              <w:t xml:space="preserve">ef: </w:t>
            </w:r>
            <w:proofErr w:type="spellStart"/>
            <w:r w:rsidR="001C6AAB" w:rsidRPr="001C6AAB">
              <w:t>Yilun</w:t>
            </w:r>
            <w:proofErr w:type="spellEnd"/>
            <w:r w:rsidR="001C6AAB" w:rsidRPr="001C6AAB">
              <w:t xml:space="preserve"> Zhu et al 2016 Plasma Sci. Technol. 18 449</w:t>
            </w:r>
          </w:p>
          <w:p w14:paraId="5D5672F5" w14:textId="05E67F3C" w:rsidR="00DF4C81" w:rsidRDefault="00DF4C81" w:rsidP="008C11BC">
            <w:pPr>
              <w:rPr>
                <w:rFonts w:ascii="Times New Roman"/>
                <w:szCs w:val="22"/>
              </w:rPr>
            </w:pPr>
            <w:r>
              <w:rPr>
                <w:rFonts w:ascii="Times New Roman" w:hint="eastAsia"/>
                <w:szCs w:val="22"/>
              </w:rPr>
              <w:t xml:space="preserve">   </w:t>
            </w:r>
            <w:r w:rsidRPr="00DF4C81">
              <w:rPr>
                <w:rFonts w:ascii="Times New Roman"/>
                <w:szCs w:val="22"/>
              </w:rPr>
              <w:t>其次，</w:t>
            </w:r>
            <w:r w:rsidRPr="00DF4C81">
              <w:rPr>
                <w:rFonts w:ascii="Times New Roman"/>
                <w:szCs w:val="22"/>
              </w:rPr>
              <w:t xml:space="preserve">MIR </w:t>
            </w:r>
            <w:r w:rsidRPr="00DF4C81">
              <w:rPr>
                <w:rFonts w:ascii="Times New Roman"/>
                <w:szCs w:val="22"/>
              </w:rPr>
              <w:t>光学系统采用模块化设计，主要包括</w:t>
            </w:r>
            <w:r w:rsidRPr="00DF4C81">
              <w:rPr>
                <w:rFonts w:ascii="Times New Roman"/>
                <w:szCs w:val="22"/>
              </w:rPr>
              <w:t xml:space="preserve"> Zoom box</w:t>
            </w:r>
            <w:r w:rsidRPr="00DF4C81">
              <w:rPr>
                <w:rFonts w:ascii="Times New Roman"/>
                <w:szCs w:val="22"/>
              </w:rPr>
              <w:t>、</w:t>
            </w:r>
            <w:r w:rsidRPr="00DF4C81">
              <w:rPr>
                <w:rFonts w:ascii="Times New Roman"/>
                <w:szCs w:val="22"/>
              </w:rPr>
              <w:t xml:space="preserve">FCA box </w:t>
            </w:r>
            <w:r w:rsidRPr="00DF4C81">
              <w:rPr>
                <w:rFonts w:ascii="Times New Roman"/>
                <w:szCs w:val="22"/>
              </w:rPr>
              <w:t>和</w:t>
            </w:r>
            <w:r w:rsidRPr="00DF4C81">
              <w:rPr>
                <w:rFonts w:ascii="Times New Roman"/>
                <w:szCs w:val="22"/>
              </w:rPr>
              <w:t xml:space="preserve"> Focus box </w:t>
            </w:r>
            <w:r w:rsidRPr="00DF4C81">
              <w:rPr>
                <w:rFonts w:ascii="Times New Roman"/>
                <w:szCs w:val="22"/>
              </w:rPr>
              <w:t>三部分。</w:t>
            </w:r>
            <w:r w:rsidRPr="00DF4C81">
              <w:rPr>
                <w:rFonts w:ascii="Times New Roman"/>
                <w:szCs w:val="22"/>
              </w:rPr>
              <w:t xml:space="preserve">Zoom box </w:t>
            </w:r>
            <w:r w:rsidRPr="00DF4C81">
              <w:rPr>
                <w:rFonts w:ascii="Times New Roman"/>
                <w:szCs w:val="22"/>
              </w:rPr>
              <w:t>用于调节极向观察范围与空间分辨率</w:t>
            </w:r>
            <w:r>
              <w:rPr>
                <w:rFonts w:ascii="Times New Roman" w:hint="eastAsia"/>
                <w:szCs w:val="22"/>
              </w:rPr>
              <w:t>。</w:t>
            </w:r>
            <w:r w:rsidRPr="00DF4C81">
              <w:rPr>
                <w:rFonts w:ascii="Times New Roman" w:hint="eastAsia"/>
                <w:szCs w:val="22"/>
              </w:rPr>
              <w:t xml:space="preserve">FCA box </w:t>
            </w:r>
            <w:r w:rsidRPr="00DF4C81">
              <w:rPr>
                <w:rFonts w:ascii="Times New Roman" w:hint="eastAsia"/>
                <w:szCs w:val="22"/>
              </w:rPr>
              <w:t>是整个系统的关键，通过一对优化形状的</w:t>
            </w:r>
            <w:r w:rsidRPr="00DF4C81">
              <w:rPr>
                <w:rFonts w:ascii="Times New Roman" w:hint="eastAsia"/>
                <w:szCs w:val="22"/>
              </w:rPr>
              <w:t xml:space="preserve"> HDPE </w:t>
            </w:r>
            <w:r w:rsidRPr="00DF4C81">
              <w:rPr>
                <w:rFonts w:ascii="Times New Roman" w:hint="eastAsia"/>
                <w:szCs w:val="22"/>
              </w:rPr>
              <w:t>透镜产生可调范围的负曲率像面，从而实现与等离子体</w:t>
            </w:r>
            <w:r w:rsidRPr="00DF4C81">
              <w:rPr>
                <w:rFonts w:ascii="Times New Roman" w:hint="eastAsia"/>
                <w:szCs w:val="22"/>
              </w:rPr>
              <w:t xml:space="preserve"> cutoff </w:t>
            </w:r>
            <w:r w:rsidRPr="00DF4C81">
              <w:rPr>
                <w:rFonts w:ascii="Times New Roman" w:hint="eastAsia"/>
                <w:szCs w:val="22"/>
              </w:rPr>
              <w:t>层的精准匹配。</w:t>
            </w:r>
            <w:r w:rsidRPr="00DF4C81">
              <w:rPr>
                <w:rFonts w:ascii="Times New Roman" w:hint="eastAsia"/>
                <w:szCs w:val="22"/>
              </w:rPr>
              <w:t xml:space="preserve">Focus box </w:t>
            </w:r>
            <w:r w:rsidRPr="00DF4C81">
              <w:rPr>
                <w:rFonts w:ascii="Times New Roman" w:hint="eastAsia"/>
                <w:szCs w:val="22"/>
              </w:rPr>
              <w:t>通</w:t>
            </w:r>
            <w:r w:rsidRPr="00DF4C81">
              <w:rPr>
                <w:rFonts w:ascii="Times New Roman" w:hint="eastAsia"/>
                <w:szCs w:val="22"/>
              </w:rPr>
              <w:lastRenderedPageBreak/>
              <w:t>过移动聚焦透镜实现径向成像位置的校准，使离焦量控制在系统分辨率要求以内。</w:t>
            </w:r>
          </w:p>
          <w:p w14:paraId="6ED9FEA3" w14:textId="77777777" w:rsidR="001C6AAB" w:rsidRDefault="001C6AAB" w:rsidP="001C6AAB">
            <w:pPr>
              <w:keepNext/>
            </w:pPr>
            <w:r w:rsidRPr="001C6AAB">
              <w:rPr>
                <w:rFonts w:ascii="Times New Roman"/>
                <w:noProof/>
                <w:szCs w:val="22"/>
              </w:rPr>
              <w:drawing>
                <wp:inline distT="0" distB="0" distL="0" distR="0" wp14:anchorId="654CB99E" wp14:editId="4B79DCE8">
                  <wp:extent cx="4318000" cy="1254760"/>
                  <wp:effectExtent l="0" t="0" r="6350" b="2540"/>
                  <wp:docPr id="202857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70930" name=""/>
                          <pic:cNvPicPr/>
                        </pic:nvPicPr>
                        <pic:blipFill>
                          <a:blip r:embed="rId7"/>
                          <a:stretch>
                            <a:fillRect/>
                          </a:stretch>
                        </pic:blipFill>
                        <pic:spPr>
                          <a:xfrm>
                            <a:off x="0" y="0"/>
                            <a:ext cx="4318000" cy="1254760"/>
                          </a:xfrm>
                          <a:prstGeom prst="rect">
                            <a:avLst/>
                          </a:prstGeom>
                        </pic:spPr>
                      </pic:pic>
                    </a:graphicData>
                  </a:graphic>
                </wp:inline>
              </w:drawing>
            </w:r>
          </w:p>
          <w:p w14:paraId="4FBCC5DC" w14:textId="5C80A6AE" w:rsidR="00784998" w:rsidRPr="001C6AAB" w:rsidRDefault="001C6AAB" w:rsidP="00784998">
            <w:pPr>
              <w:pStyle w:val="Caption"/>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84998">
              <w:rPr>
                <w:noProof/>
              </w:rPr>
              <w:t>3</w:t>
            </w:r>
            <w:r>
              <w:fldChar w:fldCharType="end"/>
            </w:r>
            <w:r>
              <w:rPr>
                <w:rFonts w:hint="eastAsia"/>
              </w:rPr>
              <w:t>.</w:t>
            </w:r>
            <w:r>
              <w:rPr>
                <w:rFonts w:hint="eastAsia"/>
              </w:rPr>
              <w:t>接收光路示意图。其中包括</w:t>
            </w:r>
            <w:r>
              <w:rPr>
                <w:rFonts w:hint="eastAsia"/>
              </w:rPr>
              <w:t xml:space="preserve">Focus </w:t>
            </w:r>
            <w:r>
              <w:rPr>
                <w:rFonts w:hint="eastAsia"/>
              </w:rPr>
              <w:t>透镜，</w:t>
            </w:r>
            <w:r>
              <w:rPr>
                <w:rFonts w:hint="eastAsia"/>
              </w:rPr>
              <w:t>FCA</w:t>
            </w:r>
            <w:r>
              <w:rPr>
                <w:rFonts w:hint="eastAsia"/>
              </w:rPr>
              <w:t>透镜组以及</w:t>
            </w:r>
            <w:r>
              <w:rPr>
                <w:rFonts w:hint="eastAsia"/>
              </w:rPr>
              <w:t xml:space="preserve">Zoom </w:t>
            </w:r>
            <w:r>
              <w:rPr>
                <w:rFonts w:hint="eastAsia"/>
              </w:rPr>
              <w:t>透镜组</w:t>
            </w:r>
            <w:r>
              <w:rPr>
                <w:rFonts w:hint="eastAsia"/>
                <w:noProof/>
              </w:rPr>
              <w:t>，实现对场曲，径向覆盖范围和极限覆盖范围的调节。</w:t>
            </w:r>
            <w:r w:rsidR="00784998">
              <w:t xml:space="preserve"> </w:t>
            </w:r>
            <w:r w:rsidR="00784998">
              <w:t>R</w:t>
            </w:r>
            <w:r w:rsidR="00784998">
              <w:rPr>
                <w:rFonts w:hint="eastAsia"/>
              </w:rPr>
              <w:t xml:space="preserve">ef: </w:t>
            </w:r>
            <w:proofErr w:type="spellStart"/>
            <w:r w:rsidR="00784998" w:rsidRPr="001C6AAB">
              <w:t>Yilun</w:t>
            </w:r>
            <w:proofErr w:type="spellEnd"/>
            <w:r w:rsidR="00784998" w:rsidRPr="001C6AAB">
              <w:t xml:space="preserve"> Zhu et al 2016 Plasma Sci. Technol. 18 449</w:t>
            </w:r>
          </w:p>
          <w:p w14:paraId="00672458" w14:textId="17FF65E9" w:rsidR="00DF4C81" w:rsidRDefault="00DF4C81" w:rsidP="001C6AAB">
            <w:pPr>
              <w:pStyle w:val="Caption"/>
              <w:rPr>
                <w:rFonts w:ascii="Times New Roman"/>
                <w:szCs w:val="22"/>
              </w:rPr>
            </w:pPr>
          </w:p>
          <w:p w14:paraId="6B658683" w14:textId="6FA3D6E3" w:rsidR="008C11BC" w:rsidRDefault="008C11BC" w:rsidP="008C11BC">
            <w:pPr>
              <w:rPr>
                <w:rFonts w:ascii="Times New Roman"/>
                <w:szCs w:val="22"/>
              </w:rPr>
            </w:pPr>
            <w:r>
              <w:rPr>
                <w:rFonts w:ascii="Times New Roman" w:hint="eastAsia"/>
                <w:szCs w:val="22"/>
              </w:rPr>
              <w:t xml:space="preserve">1.3 </w:t>
            </w:r>
            <w:r>
              <w:rPr>
                <w:rFonts w:ascii="Times New Roman" w:hint="eastAsia"/>
                <w:szCs w:val="22"/>
              </w:rPr>
              <w:t>自动化调焦</w:t>
            </w:r>
          </w:p>
          <w:p w14:paraId="0C0B3E13" w14:textId="1B31087E" w:rsidR="00CD01AB" w:rsidRDefault="00CD01AB" w:rsidP="008C11BC">
            <w:pPr>
              <w:rPr>
                <w:rFonts w:ascii="Times New Roman"/>
                <w:szCs w:val="22"/>
              </w:rPr>
            </w:pPr>
            <w:r w:rsidRPr="00CD01AB">
              <w:rPr>
                <w:rFonts w:ascii="Times New Roman"/>
                <w:szCs w:val="22"/>
              </w:rPr>
              <w:t xml:space="preserve">      Mir</w:t>
            </w:r>
            <w:r w:rsidRPr="00CD01AB">
              <w:rPr>
                <w:rFonts w:ascii="Times New Roman" w:hint="eastAsia"/>
                <w:szCs w:val="22"/>
              </w:rPr>
              <w:t>系统具有两套光路，其不仅存在接收光路束腰位置和截止层对焦问题，同时还有照明光路的波前曲率和截止层的匹配以及接收光路的入射角和截止层的匹配。但是判断是否匹配正确的依据则较为简单：通过</w:t>
            </w:r>
            <w:r w:rsidR="00547A60">
              <w:rPr>
                <w:rFonts w:ascii="Times New Roman" w:hint="eastAsia"/>
                <w:szCs w:val="22"/>
              </w:rPr>
              <w:t>接收信号的</w:t>
            </w:r>
            <w:r w:rsidRPr="00CD01AB">
              <w:rPr>
                <w:rFonts w:ascii="Times New Roman"/>
                <w:szCs w:val="22"/>
              </w:rPr>
              <w:t>IQ</w:t>
            </w:r>
            <w:r w:rsidRPr="00CD01AB">
              <w:rPr>
                <w:rFonts w:ascii="Times New Roman" w:hint="eastAsia"/>
                <w:szCs w:val="22"/>
              </w:rPr>
              <w:t>图像即可判断。当全部匹配时所得</w:t>
            </w:r>
            <w:r w:rsidRPr="00CD01AB">
              <w:rPr>
                <w:rFonts w:ascii="Times New Roman"/>
                <w:szCs w:val="22"/>
              </w:rPr>
              <w:t>IQ</w:t>
            </w:r>
            <w:r w:rsidRPr="00CD01AB">
              <w:rPr>
                <w:rFonts w:ascii="Times New Roman" w:hint="eastAsia"/>
                <w:szCs w:val="22"/>
              </w:rPr>
              <w:t>图曲线展宽最小，不匹配时展宽较大。由于截止层一直存在，因此不需要</w:t>
            </w:r>
            <w:r w:rsidR="00547A60">
              <w:rPr>
                <w:rFonts w:ascii="Times New Roman" w:hint="eastAsia"/>
                <w:szCs w:val="22"/>
              </w:rPr>
              <w:t>额外的物理</w:t>
            </w:r>
            <w:r w:rsidRPr="00CD01AB">
              <w:rPr>
                <w:rFonts w:ascii="Times New Roman" w:hint="eastAsia"/>
                <w:szCs w:val="22"/>
              </w:rPr>
              <w:t>条件。可以</w:t>
            </w:r>
            <w:r w:rsidR="00547A60">
              <w:rPr>
                <w:rFonts w:ascii="Times New Roman" w:hint="eastAsia"/>
                <w:szCs w:val="22"/>
              </w:rPr>
              <w:t>尝试</w:t>
            </w:r>
            <w:r w:rsidRPr="00CD01AB">
              <w:rPr>
                <w:rFonts w:ascii="Times New Roman" w:hint="eastAsia"/>
                <w:szCs w:val="22"/>
              </w:rPr>
              <w:t>通过固定照明光路先调节接收光路，找到一个最优解。然后固定接收光路调节照明光路找到一个最优解，以此</w:t>
            </w:r>
            <w:r w:rsidR="00EF498A">
              <w:rPr>
                <w:rFonts w:ascii="Times New Roman" w:hint="eastAsia"/>
                <w:szCs w:val="22"/>
              </w:rPr>
              <w:t>迭代</w:t>
            </w:r>
            <w:r w:rsidRPr="00CD01AB">
              <w:rPr>
                <w:rFonts w:ascii="Times New Roman" w:hint="eastAsia"/>
                <w:szCs w:val="22"/>
              </w:rPr>
              <w:t>完成全局最优解。</w:t>
            </w:r>
            <w:r w:rsidR="001C6AAB">
              <w:rPr>
                <w:rFonts w:ascii="Times New Roman" w:hint="eastAsia"/>
                <w:szCs w:val="22"/>
              </w:rPr>
              <w:t>通过这种</w:t>
            </w:r>
            <w:r w:rsidR="00547A60">
              <w:rPr>
                <w:rFonts w:ascii="Times New Roman" w:hint="eastAsia"/>
                <w:szCs w:val="22"/>
              </w:rPr>
              <w:t>迭代</w:t>
            </w:r>
            <w:r w:rsidR="001C6AAB">
              <w:rPr>
                <w:rFonts w:ascii="Times New Roman" w:hint="eastAsia"/>
                <w:szCs w:val="22"/>
              </w:rPr>
              <w:t>方法可以实现主动寻找截止层而非守株待兔等待截止层撞上我们的探测光路。</w:t>
            </w:r>
          </w:p>
          <w:p w14:paraId="7BE4AB68" w14:textId="77777777" w:rsidR="00542542" w:rsidRDefault="00542542" w:rsidP="00542542">
            <w:pPr>
              <w:keepNext/>
              <w:jc w:val="center"/>
            </w:pPr>
            <w:r w:rsidRPr="00542542">
              <w:rPr>
                <w:rFonts w:ascii="Times New Roman"/>
                <w:noProof/>
                <w:szCs w:val="22"/>
              </w:rPr>
              <w:drawing>
                <wp:inline distT="0" distB="0" distL="0" distR="0" wp14:anchorId="51A0F903" wp14:editId="0654E919">
                  <wp:extent cx="3672230" cy="1872297"/>
                  <wp:effectExtent l="0" t="0" r="4445" b="0"/>
                  <wp:docPr id="92164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43573" name=""/>
                          <pic:cNvPicPr/>
                        </pic:nvPicPr>
                        <pic:blipFill>
                          <a:blip r:embed="rId8"/>
                          <a:stretch>
                            <a:fillRect/>
                          </a:stretch>
                        </pic:blipFill>
                        <pic:spPr>
                          <a:xfrm>
                            <a:off x="0" y="0"/>
                            <a:ext cx="3679219" cy="1875861"/>
                          </a:xfrm>
                          <a:prstGeom prst="rect">
                            <a:avLst/>
                          </a:prstGeom>
                        </pic:spPr>
                      </pic:pic>
                    </a:graphicData>
                  </a:graphic>
                </wp:inline>
              </w:drawing>
            </w:r>
          </w:p>
          <w:p w14:paraId="511D84EF" w14:textId="171A170B" w:rsidR="00CD01AB" w:rsidRPr="001C6AAB" w:rsidRDefault="00542542" w:rsidP="001C6AAB">
            <w:pPr>
              <w:pStyle w:val="Caption"/>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784998">
              <w:rPr>
                <w:noProof/>
              </w:rPr>
              <w:t>4</w:t>
            </w:r>
            <w:r>
              <w:fldChar w:fldCharType="end"/>
            </w:r>
            <w:r>
              <w:rPr>
                <w:rFonts w:hint="eastAsia"/>
              </w:rPr>
              <w:t xml:space="preserve">. (a) </w:t>
            </w:r>
            <w:r>
              <w:rPr>
                <w:rFonts w:hint="eastAsia"/>
              </w:rPr>
              <w:t>光学不匹配下</w:t>
            </w:r>
            <w:r>
              <w:rPr>
                <w:rFonts w:hint="eastAsia"/>
              </w:rPr>
              <w:t>IQ</w:t>
            </w:r>
            <w:r>
              <w:rPr>
                <w:rFonts w:hint="eastAsia"/>
              </w:rPr>
              <w:t>相图</w:t>
            </w:r>
            <w:r>
              <w:t>. (</w:t>
            </w:r>
            <w:r>
              <w:rPr>
                <w:rFonts w:hint="eastAsia"/>
              </w:rPr>
              <w:t xml:space="preserve">b) </w:t>
            </w:r>
            <w:r>
              <w:rPr>
                <w:rFonts w:hint="eastAsia"/>
              </w:rPr>
              <w:t>光学匹配下</w:t>
            </w:r>
            <w:r>
              <w:rPr>
                <w:rFonts w:hint="eastAsia"/>
              </w:rPr>
              <w:t>IQ</w:t>
            </w:r>
            <w:r>
              <w:rPr>
                <w:rFonts w:hint="eastAsia"/>
              </w:rPr>
              <w:t>相图</w:t>
            </w:r>
            <w:r w:rsidR="00784998">
              <w:rPr>
                <w:rFonts w:hint="eastAsia"/>
              </w:rPr>
              <w:t>.ref:</w:t>
            </w:r>
            <w:r w:rsidR="00784998" w:rsidRPr="00784998">
              <w:rPr>
                <w:i w:val="0"/>
                <w:iCs w:val="0"/>
                <w:color w:val="auto"/>
                <w:sz w:val="21"/>
                <w:szCs w:val="24"/>
              </w:rPr>
              <w:t xml:space="preserve"> </w:t>
            </w:r>
            <w:r w:rsidR="00784998" w:rsidRPr="00784998">
              <w:t xml:space="preserve">M. Ono et al., </w:t>
            </w:r>
            <w:proofErr w:type="spellStart"/>
            <w:r w:rsidR="00784998" w:rsidRPr="00784998">
              <w:t>Nucl</w:t>
            </w:r>
            <w:proofErr w:type="spellEnd"/>
            <w:r w:rsidR="00784998" w:rsidRPr="00784998">
              <w:t xml:space="preserve">. Fusion 40, 557 </w:t>
            </w:r>
            <w:r w:rsidR="00784998">
              <w:rPr>
                <w:rFonts w:hint="eastAsia"/>
              </w:rPr>
              <w:t>(</w:t>
            </w:r>
            <w:r w:rsidR="00784998" w:rsidRPr="00784998">
              <w:t>2000</w:t>
            </w:r>
            <w:r w:rsidR="00784998">
              <w:rPr>
                <w:rFonts w:hint="eastAsia"/>
              </w:rPr>
              <w:t>)</w:t>
            </w:r>
          </w:p>
          <w:p w14:paraId="2DB05A69" w14:textId="77777777" w:rsidR="00CD01AB" w:rsidRDefault="00CD01AB" w:rsidP="008C11BC">
            <w:pPr>
              <w:rPr>
                <w:rFonts w:ascii="Times New Roman"/>
                <w:szCs w:val="22"/>
              </w:rPr>
            </w:pPr>
          </w:p>
          <w:p w14:paraId="1232863D" w14:textId="53422A60" w:rsidR="000722BE" w:rsidRDefault="00E93DA0" w:rsidP="008C11BC">
            <w:pPr>
              <w:rPr>
                <w:rFonts w:ascii="Times New Roman"/>
                <w:szCs w:val="22"/>
              </w:rPr>
            </w:pPr>
            <w:r>
              <w:rPr>
                <w:rFonts w:ascii="Times New Roman" w:hint="eastAsia"/>
                <w:szCs w:val="22"/>
              </w:rPr>
              <w:t>2.1</w:t>
            </w:r>
            <w:r w:rsidR="008C11BC">
              <w:rPr>
                <w:rFonts w:ascii="Times New Roman" w:hint="eastAsia"/>
                <w:szCs w:val="22"/>
              </w:rPr>
              <w:t xml:space="preserve"> </w:t>
            </w:r>
            <w:r w:rsidR="008C11BC">
              <w:rPr>
                <w:rFonts w:ascii="Times New Roman" w:hint="eastAsia"/>
                <w:szCs w:val="22"/>
              </w:rPr>
              <w:t>朗缪尔探针设计</w:t>
            </w:r>
          </w:p>
          <w:p w14:paraId="0A8F012E" w14:textId="6ED5A8B1" w:rsidR="005F22BC" w:rsidRDefault="00443A40">
            <w:pPr>
              <w:pStyle w:val="TableParagraph"/>
              <w:rPr>
                <w:rFonts w:ascii="Times New Roman" w:eastAsiaTheme="minorEastAsia" w:hAnsiTheme="minorHAnsi" w:cstheme="minorBidi"/>
                <w:szCs w:val="22"/>
                <w:lang w:val="en-US" w:bidi="ar-SA"/>
              </w:rPr>
            </w:pPr>
            <w:r>
              <w:rPr>
                <w:rFonts w:ascii="Times New Roman" w:eastAsiaTheme="minorEastAsia" w:hAnsiTheme="minorHAnsi" w:cstheme="minorBidi" w:hint="eastAsia"/>
                <w:szCs w:val="22"/>
                <w:lang w:val="en-US" w:bidi="ar-SA"/>
              </w:rPr>
              <w:t xml:space="preserve">    </w:t>
            </w:r>
            <w:r w:rsidRPr="00443A40">
              <w:rPr>
                <w:rFonts w:ascii="Times New Roman" w:eastAsiaTheme="minorEastAsia" w:hAnsiTheme="minorHAnsi" w:cstheme="minorBidi" w:hint="eastAsia"/>
                <w:szCs w:val="22"/>
                <w:lang w:val="en-US" w:bidi="ar-SA"/>
              </w:rPr>
              <w:t>朗缪尔探针通过向</w:t>
            </w:r>
            <w:proofErr w:type="gramStart"/>
            <w:r w:rsidRPr="00443A40">
              <w:rPr>
                <w:rFonts w:ascii="Times New Roman" w:eastAsiaTheme="minorEastAsia" w:hAnsiTheme="minorHAnsi" w:cstheme="minorBidi" w:hint="eastAsia"/>
                <w:szCs w:val="22"/>
                <w:lang w:val="en-US" w:bidi="ar-SA"/>
              </w:rPr>
              <w:t>一</w:t>
            </w:r>
            <w:proofErr w:type="gramEnd"/>
            <w:r w:rsidRPr="00443A40">
              <w:rPr>
                <w:rFonts w:ascii="Times New Roman" w:eastAsiaTheme="minorEastAsia" w:hAnsiTheme="minorHAnsi" w:cstheme="minorBidi" w:hint="eastAsia"/>
                <w:szCs w:val="22"/>
                <w:lang w:val="en-US" w:bidi="ar-SA"/>
              </w:rPr>
              <w:t>根插入等离子体中的金属电极施加不同偏压，测量其收集的电流，从而反推出等离子体的电子密度、电子温度、</w:t>
            </w:r>
            <w:r w:rsidR="00E93DA0">
              <w:rPr>
                <w:rFonts w:ascii="Times New Roman" w:eastAsiaTheme="minorEastAsia" w:hAnsiTheme="minorHAnsi" w:cstheme="minorBidi" w:hint="eastAsia"/>
                <w:szCs w:val="22"/>
                <w:lang w:val="en-US" w:bidi="ar-SA"/>
              </w:rPr>
              <w:t>悬浮</w:t>
            </w:r>
            <w:r w:rsidRPr="00443A40">
              <w:rPr>
                <w:rFonts w:ascii="Times New Roman" w:eastAsiaTheme="minorEastAsia" w:hAnsiTheme="minorHAnsi" w:cstheme="minorBidi" w:hint="eastAsia"/>
                <w:szCs w:val="22"/>
                <w:lang w:val="en-US" w:bidi="ar-SA"/>
              </w:rPr>
              <w:t>电位、等离子体电位等参数。它本质上是一个电流</w:t>
            </w:r>
            <w:r w:rsidRPr="00443A40">
              <w:rPr>
                <w:rFonts w:ascii="Times New Roman" w:eastAsiaTheme="minorEastAsia" w:hAnsiTheme="minorHAnsi" w:cstheme="minorBidi" w:hint="eastAsia"/>
                <w:szCs w:val="22"/>
                <w:lang w:val="en-US" w:bidi="ar-SA"/>
              </w:rPr>
              <w:t>-</w:t>
            </w:r>
            <w:r w:rsidRPr="00443A40">
              <w:rPr>
                <w:rFonts w:ascii="Times New Roman" w:eastAsiaTheme="minorEastAsia" w:hAnsiTheme="minorHAnsi" w:cstheme="minorBidi" w:hint="eastAsia"/>
                <w:szCs w:val="22"/>
                <w:lang w:val="en-US" w:bidi="ar-SA"/>
              </w:rPr>
              <w:t>电压扫描诊断</w:t>
            </w:r>
            <w:r>
              <w:rPr>
                <w:rFonts w:ascii="Times New Roman" w:eastAsiaTheme="minorEastAsia" w:hAnsiTheme="minorHAnsi" w:cstheme="minorBidi" w:hint="eastAsia"/>
                <w:szCs w:val="22"/>
                <w:lang w:val="en-US" w:bidi="ar-SA"/>
              </w:rPr>
              <w:t>。</w:t>
            </w:r>
          </w:p>
          <w:p w14:paraId="77C9B878" w14:textId="2306FCEA" w:rsidR="005F22BC" w:rsidRDefault="00443A40" w:rsidP="00784998">
            <w:pPr>
              <w:pStyle w:val="TableParagraph"/>
              <w:rPr>
                <w:rFonts w:ascii="Times New Roman" w:eastAsiaTheme="minorEastAsia" w:hAnsiTheme="minorHAnsi" w:cstheme="minorBidi"/>
                <w:szCs w:val="22"/>
                <w:lang w:val="en-US" w:bidi="ar-SA"/>
              </w:rPr>
            </w:pPr>
            <w:r>
              <w:rPr>
                <w:rFonts w:ascii="Times New Roman" w:eastAsiaTheme="minorEastAsia" w:hAnsiTheme="minorHAnsi" w:cstheme="minorBidi" w:hint="eastAsia"/>
                <w:szCs w:val="22"/>
                <w:lang w:val="en-US" w:bidi="ar-SA"/>
              </w:rPr>
              <w:t xml:space="preserve">   </w:t>
            </w:r>
            <w:r w:rsidRPr="00443A40">
              <w:rPr>
                <w:rFonts w:ascii="Times New Roman" w:eastAsiaTheme="minorEastAsia" w:hAnsiTheme="minorHAnsi" w:cstheme="minorBidi" w:hint="eastAsia"/>
                <w:szCs w:val="22"/>
                <w:lang w:val="en-US" w:bidi="ar-SA"/>
              </w:rPr>
              <w:t xml:space="preserve">CT </w:t>
            </w:r>
            <w:r w:rsidRPr="00443A40">
              <w:rPr>
                <w:rFonts w:ascii="Times New Roman" w:eastAsiaTheme="minorEastAsia" w:hAnsiTheme="minorHAnsi" w:cstheme="minorBidi" w:hint="eastAsia"/>
                <w:szCs w:val="22"/>
                <w:lang w:val="en-US" w:bidi="ar-SA"/>
              </w:rPr>
              <w:t>的特点：脉冲性强、寿命短、磁场和电流大、等离子体可能在探针周围移动</w:t>
            </w:r>
            <w:r w:rsidRPr="00443A40">
              <w:rPr>
                <w:rFonts w:ascii="Times New Roman" w:eastAsiaTheme="minorEastAsia" w:hAnsiTheme="minorHAnsi" w:cstheme="minorBidi" w:hint="eastAsia"/>
                <w:szCs w:val="22"/>
                <w:lang w:val="en-US" w:bidi="ar-SA"/>
              </w:rPr>
              <w:t>/</w:t>
            </w:r>
            <w:r w:rsidRPr="00443A40">
              <w:rPr>
                <w:rFonts w:ascii="Times New Roman" w:eastAsiaTheme="minorEastAsia" w:hAnsiTheme="minorHAnsi" w:cstheme="minorBidi" w:hint="eastAsia"/>
                <w:szCs w:val="22"/>
                <w:lang w:val="en-US" w:bidi="ar-SA"/>
              </w:rPr>
              <w:t>旋转、背景噪声与电磁干扰高。因此设计要兼顾</w:t>
            </w:r>
            <w:r w:rsidRPr="00443A40">
              <w:rPr>
                <w:rFonts w:ascii="Times New Roman" w:eastAsiaTheme="minorEastAsia" w:hAnsiTheme="minorHAnsi" w:cstheme="minorBidi" w:hint="eastAsia"/>
                <w:szCs w:val="22"/>
                <w:lang w:val="en-US" w:bidi="ar-SA"/>
              </w:rPr>
              <w:t xml:space="preserve"> </w:t>
            </w:r>
            <w:r w:rsidRPr="00443A40">
              <w:rPr>
                <w:rFonts w:ascii="Times New Roman" w:eastAsiaTheme="minorEastAsia" w:hAnsiTheme="minorHAnsi" w:cstheme="minorBidi" w:hint="eastAsia"/>
                <w:szCs w:val="22"/>
                <w:lang w:val="en-US" w:bidi="ar-SA"/>
              </w:rPr>
              <w:t>时间分辨率、抗干扰、机械强度与热</w:t>
            </w:r>
            <w:r w:rsidRPr="00443A40">
              <w:rPr>
                <w:rFonts w:ascii="Times New Roman" w:eastAsiaTheme="minorEastAsia" w:hAnsiTheme="minorHAnsi" w:cstheme="minorBidi" w:hint="eastAsia"/>
                <w:szCs w:val="22"/>
                <w:lang w:val="en-US" w:bidi="ar-SA"/>
              </w:rPr>
              <w:t>/</w:t>
            </w:r>
            <w:r w:rsidRPr="00443A40">
              <w:rPr>
                <w:rFonts w:ascii="Times New Roman" w:eastAsiaTheme="minorEastAsia" w:hAnsiTheme="minorHAnsi" w:cstheme="minorBidi" w:hint="eastAsia"/>
                <w:szCs w:val="22"/>
                <w:lang w:val="en-US" w:bidi="ar-SA"/>
              </w:rPr>
              <w:t>粒子耐受性。</w:t>
            </w:r>
          </w:p>
          <w:p w14:paraId="752C3289" w14:textId="77777777" w:rsidR="005F22BC" w:rsidRDefault="005F22BC">
            <w:pPr>
              <w:pStyle w:val="TableParagraph"/>
              <w:rPr>
                <w:rFonts w:ascii="Times New Roman"/>
                <w:szCs w:val="22"/>
                <w:lang w:val="en-US"/>
              </w:rPr>
            </w:pPr>
          </w:p>
          <w:p w14:paraId="4E516D23" w14:textId="77777777" w:rsidR="00784998" w:rsidRDefault="00784998" w:rsidP="00784998">
            <w:pPr>
              <w:keepNext/>
            </w:pPr>
            <w:r>
              <w:rPr>
                <w:noProof/>
              </w:rPr>
              <w:drawing>
                <wp:inline distT="0" distB="0" distL="0" distR="0" wp14:anchorId="445B5D11" wp14:editId="000E25BA">
                  <wp:extent cx="3117022" cy="1560344"/>
                  <wp:effectExtent l="0" t="0" r="7620" b="1905"/>
                  <wp:docPr id="199687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5816" cy="1564746"/>
                          </a:xfrm>
                          <a:prstGeom prst="rect">
                            <a:avLst/>
                          </a:prstGeom>
                          <a:noFill/>
                          <a:ln>
                            <a:noFill/>
                          </a:ln>
                        </pic:spPr>
                      </pic:pic>
                    </a:graphicData>
                  </a:graphic>
                </wp:inline>
              </w:drawing>
            </w:r>
          </w:p>
          <w:p w14:paraId="10B6B9B9" w14:textId="3FDFA580" w:rsidR="00784998" w:rsidRPr="00784998" w:rsidRDefault="00784998" w:rsidP="00784998">
            <w:pPr>
              <w:pStyle w:val="Caption"/>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r w:rsidRPr="00F40BD8">
              <w:rPr>
                <w:rFonts w:hint="eastAsia"/>
              </w:rPr>
              <w:t>朗缪尔探针</w:t>
            </w:r>
            <w:r w:rsidRPr="00F40BD8">
              <w:rPr>
                <w:rFonts w:hint="eastAsia"/>
              </w:rPr>
              <w:t>I-V</w:t>
            </w:r>
            <w:r w:rsidRPr="00F40BD8">
              <w:rPr>
                <w:rFonts w:hint="eastAsia"/>
              </w:rPr>
              <w:t>扫描曲线</w:t>
            </w:r>
          </w:p>
        </w:tc>
      </w:tr>
      <w:tr w:rsidR="005F22BC" w14:paraId="7BB64F8F" w14:textId="77777777">
        <w:trPr>
          <w:trHeight w:val="4656"/>
        </w:trPr>
        <w:tc>
          <w:tcPr>
            <w:tcW w:w="1404" w:type="dxa"/>
            <w:tcBorders>
              <w:top w:val="single" w:sz="6" w:space="0" w:color="000000"/>
              <w:bottom w:val="single" w:sz="6" w:space="0" w:color="000000"/>
              <w:right w:val="single" w:sz="6" w:space="0" w:color="000000"/>
            </w:tcBorders>
            <w:vAlign w:val="center"/>
          </w:tcPr>
          <w:p w14:paraId="093D61F8" w14:textId="77777777" w:rsidR="005F22BC" w:rsidRDefault="005F22BC">
            <w:pPr>
              <w:pStyle w:val="TableParagraph"/>
              <w:rPr>
                <w:b/>
                <w:sz w:val="20"/>
              </w:rPr>
            </w:pPr>
          </w:p>
        </w:tc>
        <w:tc>
          <w:tcPr>
            <w:tcW w:w="6822" w:type="dxa"/>
            <w:gridSpan w:val="5"/>
            <w:tcBorders>
              <w:top w:val="single" w:sz="6" w:space="0" w:color="000000"/>
              <w:left w:val="single" w:sz="6" w:space="0" w:color="000000"/>
              <w:bottom w:val="single" w:sz="6" w:space="0" w:color="000000"/>
            </w:tcBorders>
          </w:tcPr>
          <w:p w14:paraId="1C139EAD" w14:textId="4FD5EDBC" w:rsidR="00CE19F8" w:rsidRPr="00CE19F8" w:rsidRDefault="00CE19F8" w:rsidP="00CE19F8">
            <w:pPr>
              <w:pStyle w:val="TableParagraph"/>
              <w:numPr>
                <w:ilvl w:val="0"/>
                <w:numId w:val="1"/>
              </w:numPr>
              <w:jc w:val="center"/>
              <w:rPr>
                <w:rFonts w:ascii="Times New Roman"/>
                <w:b/>
                <w:bCs/>
                <w:sz w:val="24"/>
                <w:szCs w:val="28"/>
                <w:lang w:val="en-US"/>
              </w:rPr>
            </w:pPr>
            <w:r>
              <w:rPr>
                <w:rFonts w:ascii="Times New Roman" w:eastAsiaTheme="minorEastAsia" w:hAnsiTheme="minorHAnsi" w:cstheme="minorBidi" w:hint="eastAsia"/>
                <w:szCs w:val="22"/>
                <w:lang w:val="en-US" w:bidi="ar-SA"/>
              </w:rPr>
              <w:t xml:space="preserve">   </w:t>
            </w:r>
            <w:r>
              <w:rPr>
                <w:rFonts w:ascii="Times New Roman" w:hint="eastAsia"/>
                <w:b/>
                <w:bCs/>
                <w:sz w:val="24"/>
                <w:szCs w:val="28"/>
                <w:lang w:val="en-US"/>
              </w:rPr>
              <w:t>核心部件</w:t>
            </w:r>
            <w:r>
              <w:rPr>
                <w:rFonts w:ascii="Times New Roman" w:hint="eastAsia"/>
                <w:b/>
                <w:bCs/>
                <w:sz w:val="24"/>
                <w:szCs w:val="28"/>
                <w:lang w:val="en-US"/>
              </w:rPr>
              <w:t>材料选择</w:t>
            </w:r>
          </w:p>
          <w:p w14:paraId="520F9C22" w14:textId="6028E630" w:rsidR="00443A40" w:rsidRDefault="00784998" w:rsidP="00784998">
            <w:pPr>
              <w:pStyle w:val="TableParagraph"/>
              <w:keepNext/>
            </w:pPr>
            <w:r>
              <w:rPr>
                <w:rFonts w:hint="eastAsia"/>
              </w:rPr>
              <w:t>材料选择：</w:t>
            </w:r>
          </w:p>
          <w:p w14:paraId="1E9A18C5" w14:textId="37741908" w:rsidR="00784998" w:rsidRDefault="00784998" w:rsidP="00784998">
            <w:pPr>
              <w:pStyle w:val="TableParagraph"/>
              <w:keepNext/>
              <w:rPr>
                <w:rFonts w:hint="eastAsia"/>
              </w:rPr>
            </w:pPr>
            <w:r>
              <w:rPr>
                <w:rFonts w:hint="eastAsia"/>
              </w:rPr>
              <w:t>光学透镜材料：HDPE。HDPE在微波波段具有低损耗正切角，介电常数稳定等优势，且</w:t>
            </w:r>
            <w:r>
              <w:rPr>
                <w:rFonts w:hint="eastAsia"/>
              </w:rPr>
              <w:t>易加工，</w:t>
            </w:r>
            <w:r>
              <w:rPr>
                <w:rFonts w:hint="eastAsia"/>
              </w:rPr>
              <w:t>价格低廉</w:t>
            </w:r>
            <w:r w:rsidR="00B4703F">
              <w:rPr>
                <w:rFonts w:hint="eastAsia"/>
              </w:rPr>
              <w:t>(</w:t>
            </w:r>
            <w:r w:rsidR="00B4703F" w:rsidRPr="00B4703F">
              <w:rPr>
                <w:lang w:val="en-US"/>
              </w:rPr>
              <w:t>相比 TPX（聚甲基戊烯）、Teflon（PTFE）、硅胶等材料更便宜</w:t>
            </w:r>
            <w:r w:rsidR="00B4703F">
              <w:rPr>
                <w:rFonts w:hint="eastAsia"/>
              </w:rPr>
              <w:t>)</w:t>
            </w:r>
            <w:r>
              <w:rPr>
                <w:rFonts w:hint="eastAsia"/>
              </w:rPr>
              <w:t>，重量轻等优点。</w:t>
            </w:r>
          </w:p>
          <w:p w14:paraId="58F3394C" w14:textId="0B9875F6" w:rsidR="005F22BC" w:rsidRDefault="00E93DA0">
            <w:pPr>
              <w:pStyle w:val="TableParagraph"/>
              <w:rPr>
                <w:rFonts w:ascii="Times New Roman"/>
                <w:szCs w:val="22"/>
                <w:lang w:val="en-US"/>
              </w:rPr>
            </w:pPr>
            <w:r w:rsidRPr="00E93DA0">
              <w:rPr>
                <w:rFonts w:ascii="Times New Roman" w:hint="eastAsia"/>
                <w:szCs w:val="22"/>
                <w:lang w:val="en-US"/>
              </w:rPr>
              <w:t>探针探头材料：</w:t>
            </w:r>
            <w:r w:rsidRPr="00E93DA0">
              <w:rPr>
                <w:rFonts w:ascii="Times New Roman"/>
                <w:szCs w:val="22"/>
                <w:lang w:val="en-US"/>
              </w:rPr>
              <w:t>钨（</w:t>
            </w:r>
            <w:r w:rsidRPr="00E93DA0">
              <w:rPr>
                <w:rFonts w:ascii="Times New Roman"/>
                <w:szCs w:val="22"/>
                <w:lang w:val="en-US"/>
              </w:rPr>
              <w:t>W</w:t>
            </w:r>
            <w:r w:rsidRPr="00E93DA0">
              <w:rPr>
                <w:rFonts w:ascii="Times New Roman"/>
                <w:szCs w:val="22"/>
                <w:lang w:val="en-US"/>
              </w:rPr>
              <w:t>）或</w:t>
            </w:r>
            <w:proofErr w:type="gramStart"/>
            <w:r w:rsidRPr="00E93DA0">
              <w:rPr>
                <w:rFonts w:ascii="Times New Roman"/>
                <w:szCs w:val="22"/>
                <w:lang w:val="en-US"/>
              </w:rPr>
              <w:t>铼</w:t>
            </w:r>
            <w:proofErr w:type="gramEnd"/>
            <w:r w:rsidRPr="00E93DA0">
              <w:rPr>
                <w:rFonts w:ascii="Times New Roman"/>
                <w:szCs w:val="22"/>
                <w:lang w:val="en-US"/>
              </w:rPr>
              <w:t>涂覆钨、</w:t>
            </w:r>
            <w:proofErr w:type="gramStart"/>
            <w:r w:rsidRPr="00E93DA0">
              <w:rPr>
                <w:rFonts w:ascii="Times New Roman"/>
                <w:szCs w:val="22"/>
                <w:lang w:val="en-US"/>
              </w:rPr>
              <w:t>钼</w:t>
            </w:r>
            <w:proofErr w:type="gramEnd"/>
            <w:r w:rsidRPr="00E93DA0">
              <w:rPr>
                <w:rFonts w:ascii="Times New Roman"/>
                <w:szCs w:val="22"/>
                <w:lang w:val="en-US"/>
              </w:rPr>
              <w:t>（</w:t>
            </w:r>
            <w:r w:rsidRPr="00E93DA0">
              <w:rPr>
                <w:rFonts w:ascii="Times New Roman"/>
                <w:szCs w:val="22"/>
                <w:lang w:val="en-US"/>
              </w:rPr>
              <w:t>Mo</w:t>
            </w:r>
            <w:r w:rsidRPr="00E93DA0">
              <w:rPr>
                <w:rFonts w:ascii="Times New Roman"/>
                <w:szCs w:val="22"/>
                <w:lang w:val="en-US"/>
              </w:rPr>
              <w:t>）</w:t>
            </w:r>
            <w:r w:rsidRPr="00E93DA0">
              <w:rPr>
                <w:rFonts w:ascii="Times New Roman" w:hint="eastAsia"/>
                <w:szCs w:val="22"/>
                <w:lang w:val="en-US"/>
              </w:rPr>
              <w:t>，具有</w:t>
            </w:r>
            <w:r w:rsidRPr="00E93DA0">
              <w:rPr>
                <w:rFonts w:ascii="Times New Roman"/>
                <w:szCs w:val="22"/>
                <w:lang w:val="en-US"/>
              </w:rPr>
              <w:t>高熔点、抗溅射、低蒸发</w:t>
            </w:r>
            <w:r>
              <w:rPr>
                <w:rFonts w:ascii="Times New Roman" w:hint="eastAsia"/>
                <w:szCs w:val="22"/>
                <w:lang w:val="en-US"/>
              </w:rPr>
              <w:t>等特点</w:t>
            </w:r>
            <w:r w:rsidRPr="00E93DA0">
              <w:rPr>
                <w:rFonts w:ascii="Times New Roman"/>
                <w:szCs w:val="22"/>
                <w:lang w:val="en-US"/>
              </w:rPr>
              <w:t>。</w:t>
            </w:r>
          </w:p>
          <w:p w14:paraId="4CC2D035" w14:textId="2D6DA95F" w:rsidR="00E93DA0" w:rsidRDefault="00E93DA0">
            <w:pPr>
              <w:pStyle w:val="TableParagraph"/>
              <w:rPr>
                <w:rFonts w:ascii="Times New Roman"/>
                <w:szCs w:val="22"/>
                <w:lang w:val="en-US"/>
              </w:rPr>
            </w:pPr>
            <w:r w:rsidRPr="00E93DA0">
              <w:rPr>
                <w:rFonts w:ascii="Times New Roman"/>
                <w:szCs w:val="22"/>
                <w:lang w:val="en-US"/>
              </w:rPr>
              <w:t>线缆与屏蔽</w:t>
            </w:r>
            <w:r>
              <w:rPr>
                <w:rFonts w:ascii="Times New Roman" w:hint="eastAsia"/>
                <w:szCs w:val="22"/>
                <w:lang w:val="en-US"/>
              </w:rPr>
              <w:t>：</w:t>
            </w:r>
            <w:r w:rsidRPr="00E93DA0">
              <w:rPr>
                <w:rFonts w:ascii="Times New Roman" w:hint="eastAsia"/>
                <w:szCs w:val="22"/>
                <w:lang w:val="en-US"/>
              </w:rPr>
              <w:t>用同轴或三轴（</w:t>
            </w:r>
            <w:r w:rsidRPr="00E93DA0">
              <w:rPr>
                <w:rFonts w:ascii="Times New Roman" w:hint="eastAsia"/>
                <w:szCs w:val="22"/>
                <w:lang w:val="en-US"/>
              </w:rPr>
              <w:t>triaxial</w:t>
            </w:r>
            <w:r w:rsidRPr="00E93DA0">
              <w:rPr>
                <w:rFonts w:ascii="Times New Roman" w:hint="eastAsia"/>
                <w:szCs w:val="22"/>
                <w:lang w:val="en-US"/>
              </w:rPr>
              <w:t>）屏蔽电缆（例如</w:t>
            </w:r>
            <w:r w:rsidRPr="00E93DA0">
              <w:rPr>
                <w:rFonts w:ascii="Times New Roman" w:hint="eastAsia"/>
                <w:szCs w:val="22"/>
                <w:lang w:val="en-US"/>
              </w:rPr>
              <w:t xml:space="preserve"> RG-316 </w:t>
            </w:r>
            <w:r w:rsidRPr="00E93DA0">
              <w:rPr>
                <w:rFonts w:ascii="Times New Roman" w:hint="eastAsia"/>
                <w:szCs w:val="22"/>
                <w:lang w:val="en-US"/>
              </w:rPr>
              <w:t>或等效）从探针到室外前端。地</w:t>
            </w:r>
            <w:r w:rsidRPr="00E93DA0">
              <w:rPr>
                <w:rFonts w:ascii="Times New Roman" w:hint="eastAsia"/>
                <w:szCs w:val="22"/>
                <w:lang w:val="en-US"/>
              </w:rPr>
              <w:t>/</w:t>
            </w:r>
            <w:r w:rsidRPr="00E93DA0">
              <w:rPr>
                <w:rFonts w:ascii="Times New Roman" w:hint="eastAsia"/>
                <w:szCs w:val="22"/>
                <w:lang w:val="en-US"/>
              </w:rPr>
              <w:t>屏蔽必须可靠接地在远端（实验地</w:t>
            </w:r>
            <w:r>
              <w:rPr>
                <w:rFonts w:ascii="Times New Roman" w:hint="eastAsia"/>
                <w:szCs w:val="22"/>
                <w:lang w:val="en-US"/>
              </w:rPr>
              <w:t>）。</w:t>
            </w:r>
          </w:p>
          <w:p w14:paraId="0DE13909" w14:textId="479891E8" w:rsidR="00E93DA0" w:rsidRDefault="00E93DA0">
            <w:pPr>
              <w:pStyle w:val="TableParagraph"/>
              <w:rPr>
                <w:rFonts w:ascii="Times New Roman"/>
                <w:szCs w:val="22"/>
                <w:lang w:val="en-US"/>
              </w:rPr>
            </w:pPr>
            <w:r>
              <w:rPr>
                <w:rFonts w:ascii="Times New Roman" w:hint="eastAsia"/>
                <w:szCs w:val="22"/>
                <w:lang w:val="en-US"/>
              </w:rPr>
              <w:t>偏置电源：</w:t>
            </w:r>
            <w:r w:rsidRPr="00E93DA0">
              <w:rPr>
                <w:rFonts w:ascii="Times New Roman"/>
                <w:szCs w:val="22"/>
                <w:lang w:val="en-US"/>
              </w:rPr>
              <w:t>对脉冲</w:t>
            </w:r>
            <w:r w:rsidRPr="00E93DA0">
              <w:rPr>
                <w:rFonts w:ascii="Times New Roman"/>
                <w:szCs w:val="22"/>
                <w:lang w:val="en-US"/>
              </w:rPr>
              <w:t xml:space="preserve"> CT</w:t>
            </w:r>
            <w:r w:rsidRPr="00E93DA0">
              <w:rPr>
                <w:rFonts w:ascii="Times New Roman"/>
                <w:szCs w:val="22"/>
                <w:lang w:val="en-US"/>
              </w:rPr>
              <w:t>，</w:t>
            </w:r>
            <w:r>
              <w:rPr>
                <w:rFonts w:ascii="Times New Roman" w:hint="eastAsia"/>
                <w:szCs w:val="22"/>
                <w:lang w:val="en-US"/>
              </w:rPr>
              <w:t>需采用</w:t>
            </w:r>
            <w:r w:rsidRPr="00E93DA0">
              <w:rPr>
                <w:rFonts w:ascii="Times New Roman"/>
                <w:szCs w:val="22"/>
                <w:lang w:val="en-US"/>
              </w:rPr>
              <w:t>线性快速扫</w:t>
            </w:r>
            <w:r>
              <w:rPr>
                <w:rFonts w:ascii="Times New Roman" w:hint="eastAsia"/>
                <w:szCs w:val="22"/>
                <w:lang w:val="en-US"/>
              </w:rPr>
              <w:t>描。</w:t>
            </w:r>
          </w:p>
          <w:p w14:paraId="16E4E7B6" w14:textId="5D0E2547" w:rsidR="00E93DA0" w:rsidRPr="00E93DA0" w:rsidRDefault="00E93DA0" w:rsidP="00E93DA0">
            <w:pPr>
              <w:pStyle w:val="TableParagraph"/>
              <w:rPr>
                <w:rFonts w:ascii="Times New Roman"/>
                <w:szCs w:val="22"/>
                <w:lang w:val="en-US"/>
              </w:rPr>
            </w:pPr>
            <w:r w:rsidRPr="00E93DA0">
              <w:rPr>
                <w:rFonts w:ascii="Times New Roman"/>
                <w:szCs w:val="22"/>
                <w:lang w:val="en-US"/>
              </w:rPr>
              <w:t xml:space="preserve">ADC </w:t>
            </w:r>
            <w:r w:rsidRPr="00E93DA0">
              <w:rPr>
                <w:rFonts w:ascii="Times New Roman"/>
                <w:szCs w:val="22"/>
                <w:lang w:val="en-US"/>
              </w:rPr>
              <w:t>与采样</w:t>
            </w:r>
            <w:r>
              <w:rPr>
                <w:rFonts w:ascii="Times New Roman" w:hint="eastAsia"/>
                <w:szCs w:val="22"/>
                <w:lang w:val="en-US"/>
              </w:rPr>
              <w:t>：</w:t>
            </w:r>
            <w:r w:rsidRPr="00E93DA0">
              <w:rPr>
                <w:rFonts w:ascii="Times New Roman" w:hint="eastAsia"/>
                <w:szCs w:val="22"/>
                <w:lang w:val="en-US"/>
              </w:rPr>
              <w:t>采样率建议：若需</w:t>
            </w:r>
            <w:r w:rsidRPr="00E93DA0">
              <w:rPr>
                <w:rFonts w:ascii="Times New Roman" w:hint="eastAsia"/>
                <w:szCs w:val="22"/>
                <w:lang w:val="en-US"/>
              </w:rPr>
              <w:t xml:space="preserve"> 1 </w:t>
            </w:r>
            <w:r w:rsidRPr="00E93DA0">
              <w:rPr>
                <w:rFonts w:ascii="Times New Roman" w:hint="eastAsia"/>
                <w:szCs w:val="22"/>
                <w:lang w:val="en-US"/>
              </w:rPr>
              <w:t>µ</w:t>
            </w:r>
            <w:r w:rsidRPr="00E93DA0">
              <w:rPr>
                <w:rFonts w:ascii="Times New Roman" w:hint="eastAsia"/>
                <w:szCs w:val="22"/>
                <w:lang w:val="en-US"/>
              </w:rPr>
              <w:t xml:space="preserve">s </w:t>
            </w:r>
            <w:r w:rsidRPr="00E93DA0">
              <w:rPr>
                <w:rFonts w:ascii="Times New Roman" w:hint="eastAsia"/>
                <w:szCs w:val="22"/>
                <w:lang w:val="en-US"/>
              </w:rPr>
              <w:t>分辨率</w:t>
            </w:r>
            <w:r w:rsidRPr="00E93DA0">
              <w:rPr>
                <w:rFonts w:ascii="Times New Roman" w:hint="eastAsia"/>
                <w:szCs w:val="22"/>
                <w:lang w:val="en-US"/>
              </w:rPr>
              <w:t xml:space="preserve"> </w:t>
            </w:r>
            <w:r w:rsidRPr="00E93DA0">
              <w:rPr>
                <w:rFonts w:ascii="Times New Roman" w:hint="eastAsia"/>
                <w:szCs w:val="22"/>
                <w:lang w:val="en-US"/>
              </w:rPr>
              <w:t>→</w:t>
            </w:r>
            <w:r w:rsidRPr="00E93DA0">
              <w:rPr>
                <w:rFonts w:ascii="Times New Roman" w:hint="eastAsia"/>
                <w:szCs w:val="22"/>
                <w:lang w:val="en-US"/>
              </w:rPr>
              <w:t xml:space="preserve"> 1 MHz </w:t>
            </w:r>
            <w:r w:rsidRPr="00E93DA0">
              <w:rPr>
                <w:rFonts w:ascii="Times New Roman" w:hint="eastAsia"/>
                <w:szCs w:val="22"/>
                <w:lang w:val="en-US"/>
              </w:rPr>
              <w:t>采样。常用</w:t>
            </w:r>
            <w:r w:rsidRPr="00E93DA0">
              <w:rPr>
                <w:rFonts w:ascii="Times New Roman" w:hint="eastAsia"/>
                <w:szCs w:val="22"/>
                <w:lang w:val="en-US"/>
              </w:rPr>
              <w:t xml:space="preserve"> 0.5</w:t>
            </w:r>
            <w:r w:rsidRPr="00E93DA0">
              <w:rPr>
                <w:rFonts w:ascii="Times New Roman" w:hint="eastAsia"/>
                <w:szCs w:val="22"/>
                <w:lang w:val="en-US"/>
              </w:rPr>
              <w:t>–</w:t>
            </w:r>
            <w:r w:rsidRPr="00E93DA0">
              <w:rPr>
                <w:rFonts w:ascii="Times New Roman" w:hint="eastAsia"/>
                <w:szCs w:val="22"/>
                <w:lang w:val="en-US"/>
              </w:rPr>
              <w:t xml:space="preserve">5 MHz </w:t>
            </w:r>
            <w:r w:rsidRPr="00E93DA0">
              <w:rPr>
                <w:rFonts w:ascii="Times New Roman" w:hint="eastAsia"/>
                <w:szCs w:val="22"/>
                <w:lang w:val="en-US"/>
              </w:rPr>
              <w:t>取样卡。</w:t>
            </w:r>
            <w:r w:rsidRPr="00E93DA0">
              <w:rPr>
                <w:rFonts w:ascii="Times New Roman" w:hint="eastAsia"/>
                <w:szCs w:val="22"/>
                <w:lang w:val="en-US"/>
              </w:rPr>
              <w:t xml:space="preserve">ADC </w:t>
            </w:r>
            <w:r w:rsidRPr="00E93DA0">
              <w:rPr>
                <w:rFonts w:ascii="Times New Roman" w:hint="eastAsia"/>
                <w:szCs w:val="22"/>
                <w:lang w:val="en-US"/>
              </w:rPr>
              <w:t>位数：≥</w:t>
            </w:r>
            <w:r w:rsidRPr="00E93DA0">
              <w:rPr>
                <w:rFonts w:ascii="Times New Roman" w:hint="eastAsia"/>
                <w:szCs w:val="22"/>
                <w:lang w:val="en-US"/>
              </w:rPr>
              <w:t>12-bit</w:t>
            </w:r>
            <w:r w:rsidRPr="00E93DA0">
              <w:rPr>
                <w:rFonts w:ascii="Times New Roman" w:hint="eastAsia"/>
                <w:szCs w:val="22"/>
                <w:lang w:val="en-US"/>
              </w:rPr>
              <w:t>；若</w:t>
            </w:r>
            <w:r w:rsidRPr="00E93DA0">
              <w:rPr>
                <w:rFonts w:ascii="Times New Roman" w:hint="eastAsia"/>
                <w:szCs w:val="22"/>
                <w:lang w:val="en-US"/>
              </w:rPr>
              <w:t xml:space="preserve"> I</w:t>
            </w:r>
            <w:r w:rsidRPr="00E93DA0">
              <w:rPr>
                <w:rFonts w:ascii="Times New Roman" w:hint="eastAsia"/>
                <w:szCs w:val="22"/>
                <w:lang w:val="en-US"/>
              </w:rPr>
              <w:t>–</w:t>
            </w:r>
            <w:r w:rsidRPr="00E93DA0">
              <w:rPr>
                <w:rFonts w:ascii="Times New Roman" w:hint="eastAsia"/>
                <w:szCs w:val="22"/>
                <w:lang w:val="en-US"/>
              </w:rPr>
              <w:t xml:space="preserve">V </w:t>
            </w:r>
            <w:r w:rsidRPr="00E93DA0">
              <w:rPr>
                <w:rFonts w:ascii="Times New Roman" w:hint="eastAsia"/>
                <w:szCs w:val="22"/>
                <w:lang w:val="en-US"/>
              </w:rPr>
              <w:t>曲线电流变化跨几个数量级，考虑使用可切换增益或多量程</w:t>
            </w:r>
            <w:r w:rsidRPr="00E93DA0">
              <w:rPr>
                <w:rFonts w:ascii="Times New Roman" w:hint="eastAsia"/>
                <w:szCs w:val="22"/>
                <w:lang w:val="en-US"/>
              </w:rPr>
              <w:t xml:space="preserve"> ADC</w:t>
            </w:r>
            <w:r w:rsidRPr="00E93DA0">
              <w:rPr>
                <w:rFonts w:ascii="Times New Roman" w:hint="eastAsia"/>
                <w:szCs w:val="22"/>
                <w:lang w:val="en-US"/>
              </w:rPr>
              <w:t>。多通道同步采样（若同时测量多探针或磁场、电流等。</w:t>
            </w:r>
          </w:p>
          <w:p w14:paraId="05E9F706" w14:textId="77777777" w:rsidR="005F22BC" w:rsidRDefault="005F22BC">
            <w:pPr>
              <w:pStyle w:val="TableParagraph"/>
              <w:ind w:firstLineChars="200" w:firstLine="420"/>
              <w:rPr>
                <w:rFonts w:asciiTheme="majorEastAsia" w:eastAsiaTheme="majorEastAsia" w:hAnsiTheme="majorEastAsia"/>
                <w:szCs w:val="21"/>
              </w:rPr>
            </w:pPr>
          </w:p>
        </w:tc>
      </w:tr>
      <w:tr w:rsidR="005F22BC" w14:paraId="791894D5" w14:textId="77777777">
        <w:trPr>
          <w:trHeight w:val="3076"/>
        </w:trPr>
        <w:tc>
          <w:tcPr>
            <w:tcW w:w="1404" w:type="dxa"/>
            <w:tcBorders>
              <w:top w:val="single" w:sz="6" w:space="0" w:color="000000"/>
              <w:bottom w:val="single" w:sz="6" w:space="0" w:color="000000"/>
              <w:right w:val="single" w:sz="6" w:space="0" w:color="000000"/>
            </w:tcBorders>
            <w:vAlign w:val="center"/>
          </w:tcPr>
          <w:p w14:paraId="1C170B80" w14:textId="77777777" w:rsidR="005F22BC" w:rsidRDefault="00000000">
            <w:pPr>
              <w:pStyle w:val="TableParagraph"/>
              <w:spacing w:line="278" w:lineRule="auto"/>
              <w:ind w:left="253" w:right="230"/>
              <w:jc w:val="center"/>
              <w:rPr>
                <w:b/>
                <w:lang w:val="en-US"/>
              </w:rPr>
            </w:pPr>
            <w:r>
              <w:rPr>
                <w:b/>
              </w:rPr>
              <w:t>下一季度</w:t>
            </w:r>
            <w:r>
              <w:rPr>
                <w:rFonts w:hint="eastAsia"/>
                <w:b/>
                <w:lang w:val="en-US"/>
              </w:rPr>
              <w:t>工作计划</w:t>
            </w:r>
          </w:p>
        </w:tc>
        <w:tc>
          <w:tcPr>
            <w:tcW w:w="6822" w:type="dxa"/>
            <w:gridSpan w:val="5"/>
            <w:tcBorders>
              <w:top w:val="single" w:sz="6" w:space="0" w:color="000000"/>
              <w:left w:val="single" w:sz="6" w:space="0" w:color="000000"/>
              <w:bottom w:val="single" w:sz="6" w:space="0" w:color="000000"/>
            </w:tcBorders>
            <w:vAlign w:val="center"/>
          </w:tcPr>
          <w:p w14:paraId="1EA4A343" w14:textId="685E91AB" w:rsidR="005F22BC" w:rsidRDefault="00E93DA0" w:rsidP="003E7D6C">
            <w:pPr>
              <w:pStyle w:val="TableParagraph"/>
              <w:numPr>
                <w:ilvl w:val="3"/>
                <w:numId w:val="1"/>
              </w:numPr>
              <w:spacing w:before="22"/>
              <w:jc w:val="left"/>
              <w:rPr>
                <w:lang w:val="en-US"/>
              </w:rPr>
            </w:pPr>
            <w:r>
              <w:rPr>
                <w:rFonts w:hint="eastAsia"/>
                <w:lang w:val="en-US"/>
              </w:rPr>
              <w:t>设计满足物理观测要求的</w:t>
            </w:r>
            <w:r w:rsidR="003E7D6C">
              <w:rPr>
                <w:rFonts w:hint="eastAsia"/>
                <w:lang w:val="en-US"/>
              </w:rPr>
              <w:t>MIR</w:t>
            </w:r>
            <w:r>
              <w:rPr>
                <w:rFonts w:hint="eastAsia"/>
                <w:lang w:val="en-US"/>
              </w:rPr>
              <w:t>光学接收</w:t>
            </w:r>
            <w:r w:rsidR="003E7D6C">
              <w:rPr>
                <w:rFonts w:hint="eastAsia"/>
                <w:lang w:val="en-US"/>
              </w:rPr>
              <w:t>光学</w:t>
            </w:r>
            <w:r>
              <w:rPr>
                <w:rFonts w:hint="eastAsia"/>
                <w:lang w:val="en-US"/>
              </w:rPr>
              <w:t>透镜和发射</w:t>
            </w:r>
            <w:r w:rsidR="003E7D6C">
              <w:rPr>
                <w:rFonts w:hint="eastAsia"/>
                <w:lang w:val="en-US"/>
              </w:rPr>
              <w:t>光学</w:t>
            </w:r>
            <w:r>
              <w:rPr>
                <w:rFonts w:hint="eastAsia"/>
                <w:lang w:val="en-US"/>
              </w:rPr>
              <w:t>透镜；</w:t>
            </w:r>
          </w:p>
          <w:p w14:paraId="4A673C79" w14:textId="3B4149A6" w:rsidR="003E7D6C" w:rsidRDefault="003E7D6C" w:rsidP="003E7D6C">
            <w:pPr>
              <w:pStyle w:val="TableParagraph"/>
              <w:numPr>
                <w:ilvl w:val="3"/>
                <w:numId w:val="1"/>
              </w:numPr>
              <w:spacing w:before="22"/>
              <w:jc w:val="left"/>
              <w:rPr>
                <w:lang w:val="en-US"/>
              </w:rPr>
            </w:pPr>
            <w:r>
              <w:rPr>
                <w:rFonts w:hint="eastAsia"/>
                <w:lang w:val="en-US"/>
              </w:rPr>
              <w:t>通过CODEV 模拟接收光路的光学特征，并通过实验平台测试接收光路的光斑大小，空间分辨率以及多普勒频移。</w:t>
            </w:r>
          </w:p>
          <w:p w14:paraId="20C1D94A" w14:textId="18080258" w:rsidR="00E93DA0" w:rsidRDefault="003E7D6C" w:rsidP="003E7D6C">
            <w:pPr>
              <w:pStyle w:val="TableParagraph"/>
              <w:numPr>
                <w:ilvl w:val="3"/>
                <w:numId w:val="1"/>
              </w:numPr>
              <w:spacing w:before="22"/>
              <w:jc w:val="left"/>
              <w:rPr>
                <w:lang w:val="en-US"/>
              </w:rPr>
            </w:pPr>
            <w:r>
              <w:rPr>
                <w:rFonts w:hint="eastAsia"/>
                <w:lang w:val="en-US"/>
              </w:rPr>
              <w:t>完善</w:t>
            </w:r>
            <w:r w:rsidR="00E93DA0">
              <w:rPr>
                <w:rFonts w:hint="eastAsia"/>
                <w:lang w:val="en-US"/>
              </w:rPr>
              <w:t>探针系统的电路原理图，</w:t>
            </w:r>
            <w:r>
              <w:rPr>
                <w:rFonts w:hint="eastAsia"/>
                <w:lang w:val="en-US"/>
              </w:rPr>
              <w:t>并</w:t>
            </w:r>
            <w:r w:rsidR="00E93DA0">
              <w:rPr>
                <w:rFonts w:hint="eastAsia"/>
                <w:lang w:val="en-US"/>
              </w:rPr>
              <w:t>搭建</w:t>
            </w:r>
            <w:r>
              <w:rPr>
                <w:rFonts w:hint="eastAsia"/>
                <w:lang w:val="en-US"/>
              </w:rPr>
              <w:t>测试平台</w:t>
            </w:r>
            <w:r w:rsidR="00E93DA0">
              <w:rPr>
                <w:rFonts w:hint="eastAsia"/>
                <w:lang w:val="en-US"/>
              </w:rPr>
              <w:t>以及数据采集</w:t>
            </w:r>
            <w:r>
              <w:rPr>
                <w:rFonts w:hint="eastAsia"/>
                <w:lang w:val="en-US"/>
              </w:rPr>
              <w:t>和分析。</w:t>
            </w:r>
          </w:p>
          <w:p w14:paraId="3B20EC5E" w14:textId="440FB448" w:rsidR="003E7D6C" w:rsidRDefault="003E7D6C" w:rsidP="003E7D6C">
            <w:pPr>
              <w:pStyle w:val="TableParagraph"/>
              <w:spacing w:before="22"/>
              <w:ind w:left="1760"/>
              <w:jc w:val="left"/>
              <w:rPr>
                <w:lang w:val="en-US"/>
              </w:rPr>
            </w:pPr>
          </w:p>
        </w:tc>
      </w:tr>
    </w:tbl>
    <w:p w14:paraId="3F12A28B" w14:textId="77777777" w:rsidR="005F22BC" w:rsidRDefault="005F22BC"/>
    <w:sectPr w:rsidR="005F22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B16D5"/>
    <w:multiLevelType w:val="multilevel"/>
    <w:tmpl w:val="706B16D5"/>
    <w:lvl w:ilvl="0">
      <w:start w:val="1"/>
      <w:numFmt w:val="decimal"/>
      <w:lvlText w:val="%1、"/>
      <w:lvlJc w:val="left"/>
      <w:pPr>
        <w:ind w:left="370" w:hanging="37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53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89562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c5NTkxZmU0MTBmOWQ2ODlhMzFhNmVjNjQ4YzE1ZGIifQ=="/>
  </w:docVars>
  <w:rsids>
    <w:rsidRoot w:val="6AE62525"/>
    <w:rsid w:val="00002925"/>
    <w:rsid w:val="00044E32"/>
    <w:rsid w:val="0005449A"/>
    <w:rsid w:val="00070FE7"/>
    <w:rsid w:val="000722BE"/>
    <w:rsid w:val="00092AFD"/>
    <w:rsid w:val="000C4AFE"/>
    <w:rsid w:val="000D0266"/>
    <w:rsid w:val="000F7C72"/>
    <w:rsid w:val="00102BFE"/>
    <w:rsid w:val="0011479A"/>
    <w:rsid w:val="001223D8"/>
    <w:rsid w:val="00127109"/>
    <w:rsid w:val="00130925"/>
    <w:rsid w:val="0013451F"/>
    <w:rsid w:val="00153C22"/>
    <w:rsid w:val="0015765C"/>
    <w:rsid w:val="0017576F"/>
    <w:rsid w:val="001978E3"/>
    <w:rsid w:val="001A0CAB"/>
    <w:rsid w:val="001B393C"/>
    <w:rsid w:val="001C6AAB"/>
    <w:rsid w:val="001E12FF"/>
    <w:rsid w:val="001F1953"/>
    <w:rsid w:val="00287992"/>
    <w:rsid w:val="002B77CE"/>
    <w:rsid w:val="002E1FDC"/>
    <w:rsid w:val="002E458A"/>
    <w:rsid w:val="00325B44"/>
    <w:rsid w:val="00337C7D"/>
    <w:rsid w:val="00354B25"/>
    <w:rsid w:val="00357CB9"/>
    <w:rsid w:val="00381C1E"/>
    <w:rsid w:val="00385BE8"/>
    <w:rsid w:val="00393290"/>
    <w:rsid w:val="00394118"/>
    <w:rsid w:val="003A5A67"/>
    <w:rsid w:val="003C7CBB"/>
    <w:rsid w:val="003E1A7E"/>
    <w:rsid w:val="003E3BD0"/>
    <w:rsid w:val="003E7D6C"/>
    <w:rsid w:val="00403EF8"/>
    <w:rsid w:val="00407889"/>
    <w:rsid w:val="00427383"/>
    <w:rsid w:val="00443A40"/>
    <w:rsid w:val="004637B1"/>
    <w:rsid w:val="00464BA6"/>
    <w:rsid w:val="004654F2"/>
    <w:rsid w:val="00470796"/>
    <w:rsid w:val="004730D8"/>
    <w:rsid w:val="00486AC9"/>
    <w:rsid w:val="004A3B10"/>
    <w:rsid w:val="004B026D"/>
    <w:rsid w:val="004B78D9"/>
    <w:rsid w:val="004D129D"/>
    <w:rsid w:val="004E115E"/>
    <w:rsid w:val="004E49E7"/>
    <w:rsid w:val="004E7254"/>
    <w:rsid w:val="004E7EB9"/>
    <w:rsid w:val="00501C92"/>
    <w:rsid w:val="005130B0"/>
    <w:rsid w:val="00513B23"/>
    <w:rsid w:val="00516FEF"/>
    <w:rsid w:val="0052272C"/>
    <w:rsid w:val="005270F8"/>
    <w:rsid w:val="00542542"/>
    <w:rsid w:val="00547A60"/>
    <w:rsid w:val="00570B5F"/>
    <w:rsid w:val="00570DF8"/>
    <w:rsid w:val="00585F07"/>
    <w:rsid w:val="005B24B6"/>
    <w:rsid w:val="005F22BC"/>
    <w:rsid w:val="005F4BDC"/>
    <w:rsid w:val="00621534"/>
    <w:rsid w:val="006422EC"/>
    <w:rsid w:val="006447E4"/>
    <w:rsid w:val="00662A6C"/>
    <w:rsid w:val="00693652"/>
    <w:rsid w:val="006A145E"/>
    <w:rsid w:val="006B42B7"/>
    <w:rsid w:val="006E3C15"/>
    <w:rsid w:val="007051E8"/>
    <w:rsid w:val="007109AF"/>
    <w:rsid w:val="00725230"/>
    <w:rsid w:val="00730629"/>
    <w:rsid w:val="0073186C"/>
    <w:rsid w:val="00750DBD"/>
    <w:rsid w:val="00767E49"/>
    <w:rsid w:val="00775A57"/>
    <w:rsid w:val="0078147F"/>
    <w:rsid w:val="00784998"/>
    <w:rsid w:val="007944AE"/>
    <w:rsid w:val="007A2B04"/>
    <w:rsid w:val="007C1A65"/>
    <w:rsid w:val="007D0CA1"/>
    <w:rsid w:val="007E3D20"/>
    <w:rsid w:val="00801CC8"/>
    <w:rsid w:val="00816205"/>
    <w:rsid w:val="008606C3"/>
    <w:rsid w:val="008750E7"/>
    <w:rsid w:val="0088324B"/>
    <w:rsid w:val="00887D44"/>
    <w:rsid w:val="0089097F"/>
    <w:rsid w:val="008B0EE1"/>
    <w:rsid w:val="008C11BC"/>
    <w:rsid w:val="008D12F4"/>
    <w:rsid w:val="00911E25"/>
    <w:rsid w:val="00924AF0"/>
    <w:rsid w:val="00926949"/>
    <w:rsid w:val="0095387B"/>
    <w:rsid w:val="009B33D6"/>
    <w:rsid w:val="00A6324D"/>
    <w:rsid w:val="00A64622"/>
    <w:rsid w:val="00A700E2"/>
    <w:rsid w:val="00A71F14"/>
    <w:rsid w:val="00A94438"/>
    <w:rsid w:val="00AB168F"/>
    <w:rsid w:val="00AD7A70"/>
    <w:rsid w:val="00B27062"/>
    <w:rsid w:val="00B4703F"/>
    <w:rsid w:val="00B72290"/>
    <w:rsid w:val="00B81F8D"/>
    <w:rsid w:val="00B9043A"/>
    <w:rsid w:val="00BB3C1A"/>
    <w:rsid w:val="00BF0D94"/>
    <w:rsid w:val="00C12814"/>
    <w:rsid w:val="00CB3A10"/>
    <w:rsid w:val="00CC1227"/>
    <w:rsid w:val="00CD01AB"/>
    <w:rsid w:val="00CD02CD"/>
    <w:rsid w:val="00CE19F8"/>
    <w:rsid w:val="00CF2318"/>
    <w:rsid w:val="00D036BC"/>
    <w:rsid w:val="00D03C11"/>
    <w:rsid w:val="00D53BF7"/>
    <w:rsid w:val="00D6436F"/>
    <w:rsid w:val="00DA2C86"/>
    <w:rsid w:val="00DC5887"/>
    <w:rsid w:val="00DF4C81"/>
    <w:rsid w:val="00E00278"/>
    <w:rsid w:val="00E170B6"/>
    <w:rsid w:val="00E360B8"/>
    <w:rsid w:val="00E558BF"/>
    <w:rsid w:val="00E70490"/>
    <w:rsid w:val="00E93DA0"/>
    <w:rsid w:val="00EB475E"/>
    <w:rsid w:val="00EB533F"/>
    <w:rsid w:val="00EB753A"/>
    <w:rsid w:val="00EE2786"/>
    <w:rsid w:val="00EF0A33"/>
    <w:rsid w:val="00EF498A"/>
    <w:rsid w:val="00F01C75"/>
    <w:rsid w:val="00F07BE0"/>
    <w:rsid w:val="00F212D4"/>
    <w:rsid w:val="00F21CCB"/>
    <w:rsid w:val="00F324D5"/>
    <w:rsid w:val="00F414FA"/>
    <w:rsid w:val="00F818C4"/>
    <w:rsid w:val="00F90595"/>
    <w:rsid w:val="00F954BF"/>
    <w:rsid w:val="00FA7145"/>
    <w:rsid w:val="00FB6DC1"/>
    <w:rsid w:val="00FC3081"/>
    <w:rsid w:val="00FF6767"/>
    <w:rsid w:val="08580817"/>
    <w:rsid w:val="0B50723E"/>
    <w:rsid w:val="11506D41"/>
    <w:rsid w:val="13C379DA"/>
    <w:rsid w:val="146C3610"/>
    <w:rsid w:val="1E7864E7"/>
    <w:rsid w:val="211621E2"/>
    <w:rsid w:val="21DB48C2"/>
    <w:rsid w:val="27082CEF"/>
    <w:rsid w:val="2BFF47C5"/>
    <w:rsid w:val="318026FC"/>
    <w:rsid w:val="31EF0CAF"/>
    <w:rsid w:val="334D3D45"/>
    <w:rsid w:val="4A6D0F14"/>
    <w:rsid w:val="558D41B7"/>
    <w:rsid w:val="58F5454D"/>
    <w:rsid w:val="631630A5"/>
    <w:rsid w:val="647A0224"/>
    <w:rsid w:val="6AE62525"/>
    <w:rsid w:val="6F667618"/>
    <w:rsid w:val="77626DFA"/>
    <w:rsid w:val="78572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0423376"/>
  <w15:docId w15:val="{5CBE1E62-2F81-4457-8E43-E54E42F8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2">
    <w:name w:val="heading 2"/>
    <w:basedOn w:val="Normal"/>
    <w:next w:val="Normal"/>
    <w:uiPriority w:val="1"/>
    <w:qFormat/>
    <w:pPr>
      <w:ind w:left="398"/>
      <w:outlineLvl w:val="1"/>
    </w:pPr>
    <w:rPr>
      <w:rFonts w:ascii="宋体" w:eastAsia="宋体" w:hAnsi="宋体" w:cs="宋体"/>
      <w:b/>
      <w:bCs/>
      <w:sz w:val="28"/>
      <w:szCs w:val="28"/>
      <w:lang w:val="zh-CN" w:bidi="zh-CN"/>
    </w:rPr>
  </w:style>
  <w:style w:type="paragraph" w:styleId="Heading3">
    <w:name w:val="heading 3"/>
    <w:basedOn w:val="Normal"/>
    <w:next w:val="Normal"/>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pPr>
    <w:rPr>
      <w:rFonts w:ascii="宋体" w:eastAsia="宋体" w:hAnsi="宋体" w:cs="宋体"/>
      <w:sz w:val="24"/>
      <w:lang w:val="zh-CN" w:bidi="zh-CN"/>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character" w:styleId="Strong">
    <w:name w:val="Strong"/>
    <w:basedOn w:val="DefaultParagraphFont"/>
    <w:qFormat/>
    <w:rPr>
      <w:b/>
    </w:rPr>
  </w:style>
  <w:style w:type="paragraph" w:customStyle="1" w:styleId="TableParagraph">
    <w:name w:val="Table Paragraph"/>
    <w:basedOn w:val="Normal"/>
    <w:uiPriority w:val="1"/>
    <w:qFormat/>
    <w:rPr>
      <w:rFonts w:ascii="宋体" w:eastAsia="宋体" w:hAnsi="宋体" w:cs="宋体"/>
      <w:lang w:val="zh-CN" w:bidi="zh-CN"/>
    </w:r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 w:type="character" w:styleId="PlaceholderText">
    <w:name w:val="Placeholder Text"/>
    <w:basedOn w:val="DefaultParagraphFont"/>
    <w:uiPriority w:val="99"/>
    <w:unhideWhenUsed/>
    <w:rsid w:val="00394118"/>
    <w:rPr>
      <w:color w:val="666666"/>
    </w:rPr>
  </w:style>
  <w:style w:type="paragraph" w:styleId="Caption">
    <w:name w:val="caption"/>
    <w:basedOn w:val="Normal"/>
    <w:next w:val="Normal"/>
    <w:unhideWhenUsed/>
    <w:qFormat/>
    <w:rsid w:val="005F4BDC"/>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575</TotalTime>
  <Pages>4</Pages>
  <Words>1468</Words>
  <Characters>1631</Characters>
  <Application>Microsoft Office Word</Application>
  <DocSecurity>0</DocSecurity>
  <Lines>81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卞朝晖</dc:creator>
  <cp:lastModifiedBy>Xinhang Xu</cp:lastModifiedBy>
  <cp:revision>12</cp:revision>
  <dcterms:created xsi:type="dcterms:W3CDTF">2025-11-21T05:32:00Z</dcterms:created>
  <dcterms:modified xsi:type="dcterms:W3CDTF">2025-11-23T00:04:00Z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3504A8FD84E94AE1926874F56A7B36B3_13</vt:lpwstr>
  </property>
  <property fmtid="{D5CDD505-2E9C-101B-9397-08002B2CF9AE}" pid="4" name="KSOTemplateDocerSaveRecord">
    <vt:lpwstr>eyJoZGlkIjoiMDI0MTU3ODlhODQwYmQyMGM4YjI5MGVhYWM1NzkyNTMiLCJ1c2VySWQiOiIzOTg4NDI2MzAifQ==</vt:lpwstr>
  </property>
</Properties>
</file>