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09F7F565"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 xml:space="preserve">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C07939E"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2618A2D4" w:rsidR="00354123" w:rsidRDefault="007A65DB" w:rsidP="00E86428">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 xml:space="preserve">In this study, we numerically investigate a novel trapping phenomenon in which electrons within a static electric field become confined at the </w:t>
      </w:r>
      <w:r w:rsidR="00A93C5F">
        <w:t>Normal</w:t>
      </w:r>
      <w:r w:rsidR="00E86428">
        <w:t xml:space="preserve"> Doppler </w:t>
      </w:r>
      <w:r w:rsidR="00A93C5F">
        <w:t>R</w:t>
      </w:r>
      <w:r w:rsidR="00E86428">
        <w:t xml:space="preserve">esonant </w:t>
      </w:r>
      <w:r w:rsidR="00A93C5F">
        <w:t xml:space="preserve">and Anomalous Doppler Resonant </w:t>
      </w:r>
      <w:r w:rsidR="00E86428">
        <w:t>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29EACCF8"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6BBFE24D" w:rsidR="00E86428" w:rsidRPr="00E86428" w:rsidRDefault="00441F24"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m:r>
                    <w:rPr>
                      <w:rFonts w:ascii="Cambria Math" w:hAnsi="Cambria Math" w:hint="eastAsia"/>
                      <w:color w:val="000000"/>
                    </w:rPr>
                    <m:t>g</m:t>
                  </m:r>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5786CA5"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g =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70B77A04" w:rsidR="00E86428" w:rsidRPr="00E86428" w:rsidRDefault="00441F24"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441F24"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441F24"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441F24"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6BB1866F" w:rsidR="001D39AE" w:rsidRPr="001D39AE" w:rsidRDefault="00441F24"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276F21B" w:rsidR="001D39AE" w:rsidRPr="001D39AE" w:rsidRDefault="00441F24"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441F2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441F2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441F24"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441F24"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441F24"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441F24"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441F24"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441F24"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10867946" w:rsidR="00BB5B1A" w:rsidRPr="00BA5AC5" w:rsidRDefault="00441F24"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p"/>
                </m:rPr>
                <w:rPr>
                  <w:rFonts w:ascii="Cambria Math" w:hAnsi="Cambria Math"/>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63FD1AA7"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74796B62" w:rsidR="003B6BA2" w:rsidRPr="00877028" w:rsidRDefault="00441F24"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2C5E0D2D" w14:textId="0F5FD684" w:rsidR="00BB5B1A" w:rsidRDefault="00441F24"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m:t>
                  </m:r>
                  <m:r>
                    <w:rPr>
                      <w:rFonts w:ascii="Cambria Math" w:hAnsi="Cambria Math" w:hint="eastAsia"/>
                      <w:color w:val="000000"/>
                    </w:rPr>
                    <m:t>g</m:t>
                  </m:r>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p>
    <w:p w14:paraId="50A3E216" w14:textId="6AB54A36" w:rsidR="00234536" w:rsidRPr="00234536" w:rsidRDefault="00441F24"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ξ=1+gσ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441F24"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441F24"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r>
        <w:rPr>
          <w:rFonts w:hint="eastAsia"/>
          <w:color w:val="000000"/>
        </w:rPr>
        <w:t>ubs</w:t>
      </w:r>
      <w:r>
        <w:rPr>
          <w:color w:val="000000"/>
        </w:rPr>
        <w:t xml:space="preserve">tituting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7462600" w:rsidR="00011A05" w:rsidRPr="00E463B0" w:rsidRDefault="00441F24"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441F24"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441F24"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441F24"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441F24"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w:t>
      </w:r>
      <w:r w:rsidR="00ED24C3" w:rsidRPr="002034B1">
        <w:rPr>
          <w:color w:val="FF0000"/>
        </w:rPr>
        <w:t xml:space="preserve">For instance, when </w:t>
      </w:r>
      <m:oMath>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z</m:t>
            </m:r>
          </m:sub>
          <m:sup>
            <m:r>
              <m:rPr>
                <m:sty m:val="p"/>
              </m:rPr>
              <w:rPr>
                <w:rFonts w:ascii="Cambria Math" w:hAnsi="Cambria Math"/>
                <w:color w:val="FF0000"/>
              </w:rPr>
              <m:t>'</m:t>
            </m:r>
          </m:sup>
        </m:sSubSup>
        <m:r>
          <w:rPr>
            <w:rFonts w:ascii="Cambria Math" w:hAnsi="Cambria Math"/>
            <w:color w:val="FF0000"/>
          </w:rPr>
          <m:t>=0.3,</m:t>
        </m:r>
      </m:oMath>
      <w:r w:rsidR="00ED24C3" w:rsidRPr="002034B1">
        <w:rPr>
          <w:color w:val="FF0000"/>
        </w:rPr>
        <w:t xml:space="preserve"> we find </w:t>
      </w:r>
      <m:oMath>
        <m:sSup>
          <m:sSupPr>
            <m:ctrlPr>
              <w:rPr>
                <w:rFonts w:ascii="Cambria Math" w:hAnsi="Cambria Math"/>
                <w:i/>
                <w:color w:val="FF0000"/>
              </w:rPr>
            </m:ctrlPr>
          </m:sSupPr>
          <m:e>
            <m:r>
              <w:rPr>
                <w:rFonts w:ascii="Cambria Math" w:hAnsi="Cambria Math"/>
                <w:color w:val="FF0000"/>
              </w:rPr>
              <m:t>γ</m:t>
            </m:r>
          </m:e>
          <m:sup>
            <m:r>
              <w:rPr>
                <w:rFonts w:ascii="Cambria Math" w:hAnsi="Cambria Math"/>
                <w:color w:val="FF0000"/>
              </w:rPr>
              <m:t>'2</m:t>
            </m:r>
          </m:sup>
        </m:s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z</m:t>
                </m:r>
              </m:sub>
              <m:sup>
                <m:r>
                  <w:rPr>
                    <w:rFonts w:ascii="Cambria Math" w:hAnsi="Cambria Math"/>
                    <w:color w:val="FF0000"/>
                  </w:rPr>
                  <m:t>'</m:t>
                </m:r>
              </m:sup>
            </m:sSubSup>
          </m:e>
          <m:sup>
            <m:r>
              <w:rPr>
                <w:rFonts w:ascii="Cambria Math" w:hAnsi="Cambria Math"/>
                <w:color w:val="FF0000"/>
              </w:rPr>
              <m:t>2</m:t>
            </m:r>
          </m:sup>
        </m:sSup>
        <m:r>
          <w:rPr>
            <w:rFonts w:ascii="Cambria Math" w:hAnsi="Cambria Math"/>
            <w:color w:val="FF0000"/>
          </w:rPr>
          <m:t>≈0.1</m:t>
        </m:r>
      </m:oMath>
      <w:r w:rsidR="00ED24C3" w:rsidRPr="002034B1">
        <w:rPr>
          <w:color w:val="FF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441F24"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167AFE5C" w:rsidR="00D72C0C" w:rsidRPr="00D72C0C" w:rsidRDefault="00441F24"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067D2697"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441F24"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441F24"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441F24"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174343AA"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44157F2A" w:rsidR="00FB6200" w:rsidRPr="00FB6200" w:rsidRDefault="0070513F" w:rsidP="00FB6200">
      <w:pPr>
        <w:rPr>
          <w:color w:val="000000"/>
        </w:rPr>
      </w:pPr>
      <w:r>
        <w:rPr>
          <w:color w:val="000000"/>
        </w:rPr>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EA4C7F">
        <w:rPr>
          <w:color w:val="000000"/>
        </w:rPr>
        <w:fldChar w:fldCharType="end"/>
      </w:r>
      <w:r w:rsidR="00EA4C7F">
        <w:rPr>
          <w:color w:val="000000"/>
        </w:rPr>
        <w:t xml:space="preserve"> can</w:t>
      </w:r>
      <w:r w:rsidR="00B32F0A">
        <w:t xml:space="preserve"> simplifies to:</w:t>
      </w:r>
    </w:p>
    <w:p w14:paraId="2F940928" w14:textId="1D966DC0" w:rsidR="00FB6200" w:rsidRPr="00FB6200" w:rsidRDefault="00441F24"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lastRenderedPageBreak/>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441F24"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2F90B36D" w:rsidR="00FB6200" w:rsidRPr="00FB6200" w:rsidRDefault="00441F24"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r>
                    <w:rPr>
                      <w:rFonts w:ascii="Cambria Math" w:hAnsi="Cambria Math"/>
                      <w:color w:val="000000"/>
                    </w:rPr>
                    <m:t>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441F24"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2C7F9D93" w:rsidR="00375E76" w:rsidRPr="00FE0BC2" w:rsidRDefault="00441F24"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03217" w:rsidR="000E3750" w:rsidRPr="00183C9C" w:rsidRDefault="00441F24"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r>
                    <w:rPr>
                      <w:rFonts w:ascii="Cambria Math" w:hAnsi="Cambria Math"/>
                      <w:color w:val="000000"/>
                    </w:rPr>
                    <m:t>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6C508A46" w:rsidR="00594ABC" w:rsidRPr="00183C9C" w:rsidRDefault="00441F24"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r>
                        <w:rPr>
                          <w:rFonts w:ascii="Cambria Math" w:hAnsi="Cambria Math"/>
                          <w:color w:val="000000"/>
                        </w:rPr>
                        <m:t>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55E63D8A" w:rsidR="00594ABC" w:rsidRPr="00623CEA" w:rsidRDefault="00441F24"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g</m:t>
                          </m:r>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g</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2F879E3F"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t>
      </w:r>
      <w:r w:rsidR="00D9761F">
        <w:rPr>
          <w:color w:val="000000"/>
        </w:rPr>
        <w:t>the last term can be safely neglected.</w:t>
      </w:r>
      <w:r w:rsidR="009E0278">
        <w:rPr>
          <w:color w:val="000000"/>
        </w:rPr>
        <w:t xml:space="preserve"> </w:t>
      </w:r>
      <w:r w:rsidR="00D9761F">
        <w:rPr>
          <w:color w:val="000000"/>
        </w:rPr>
        <w:t>T</w:t>
      </w:r>
      <w:r w:rsidR="009E0278">
        <w:rPr>
          <w:color w:val="000000"/>
        </w:rPr>
        <w:t>h</w:t>
      </w:r>
      <w:r w:rsidR="00D9761F">
        <w:rPr>
          <w:color w:val="000000"/>
        </w:rPr>
        <w:t>us,</w:t>
      </w:r>
      <w:r w:rsidR="009E0278">
        <w:rPr>
          <w:color w:val="000000"/>
        </w:rPr>
        <w:t xml:space="preserve">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t>
      </w:r>
      <w:r w:rsidR="00D9761F">
        <w:rPr>
          <w:color w:val="000000"/>
        </w:rPr>
        <w:t>can be re</w:t>
      </w:r>
      <w:r w:rsidR="009E0278">
        <w:rPr>
          <w:color w:val="000000"/>
        </w:rPr>
        <w:t>written as</w:t>
      </w:r>
      <w:r w:rsidR="00D9761F">
        <w:rPr>
          <w:color w:val="000000"/>
        </w:rPr>
        <w:t>:</w:t>
      </w:r>
      <w:r w:rsidR="009E0278">
        <w:rPr>
          <w:color w:val="000000"/>
        </w:rPr>
        <w:t xml:space="preserve"> </w:t>
      </w:r>
    </w:p>
    <w:p w14:paraId="79DF0B9D" w14:textId="6DA2BE91" w:rsidR="00623CEA" w:rsidRPr="00623CEA" w:rsidRDefault="00441F24"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g</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r>
        <w:rPr>
          <w:color w:val="000000"/>
        </w:rPr>
        <w:t xml:space="preserve">Where </w:t>
      </w:r>
    </w:p>
    <w:p w14:paraId="24AF9367" w14:textId="755C4BA2" w:rsidR="002116AD" w:rsidRPr="007C605F" w:rsidRDefault="00441F24"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036CFB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dξ/dt' </m:t>
        </m:r>
      </m:oMath>
      <w:r>
        <w:rPr>
          <w:color w:val="000000"/>
        </w:rPr>
        <w:t xml:space="preserve">and integrating gives a pseudo-energy equation </w:t>
      </w:r>
    </w:p>
    <w:p w14:paraId="41134B78" w14:textId="5AF2709C" w:rsidR="002116AD" w:rsidRPr="0066181F"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212F2707" w:rsidR="008C6F7C" w:rsidRPr="00220913"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r>
                    <w:rPr>
                      <w:rFonts w:ascii="Cambria Math" w:hAnsi="Cambria Math"/>
                      <w:color w:val="000000"/>
                    </w:rPr>
                    <m:t>g</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r>
                <w:rPr>
                  <w:rFonts w:ascii="Cambria Math" w:hAnsi="Cambria Math" w:hint="eastAsia"/>
                  <w:color w:val="000000"/>
                </w:rPr>
                <m:t>g</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441F24"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91F1B7B" w:rsidR="002116AD" w:rsidRDefault="002116AD" w:rsidP="002116AD">
      <w:pPr>
        <w:rPr>
          <w:color w:val="000000"/>
        </w:rPr>
      </w:pPr>
      <w:r>
        <w:rPr>
          <w:color w:val="000000"/>
        </w:rPr>
        <w:t xml:space="preserve">Here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r>
          <w:rPr>
            <w:rFonts w:ascii="Cambria Math" w:hAnsi="Cambria Math"/>
            <w:color w:val="000000"/>
          </w:rPr>
          <m:t>,</m:t>
        </m:r>
        <m:r>
          <m:rPr>
            <m:sty m:val="p"/>
          </m:rPr>
          <w:rPr>
            <w:rFonts w:ascii="Cambria Math" w:hAnsi="Cambria Math"/>
            <w:color w:val="000000"/>
          </w:rPr>
          <m:t xml:space="preserve"> α=</m:t>
        </m:r>
        <m:f>
          <m:fPr>
            <m:ctrlPr>
              <w:rPr>
                <w:rFonts w:ascii="Cambria Math" w:hAnsi="Cambria Math"/>
                <w:color w:val="000000"/>
              </w:rPr>
            </m:ctrlPr>
          </m:fPr>
          <m:num>
            <m:r>
              <m:rPr>
                <m:sty m:val="p"/>
              </m:rPr>
              <w:rPr>
                <w:rFonts w:ascii="Cambria Math" w:hAnsi="Cambria Math"/>
                <w:color w:val="000000"/>
              </w:rPr>
              <m:t>ω</m:t>
            </m:r>
          </m:num>
          <m:den>
            <m:r>
              <m:rPr>
                <m:sty m:val="p"/>
              </m:rPr>
              <w:rPr>
                <w:rFonts w:ascii="Cambria Math" w:hAnsi="Cambria Math"/>
                <w:color w:val="000000"/>
              </w:rPr>
              <m:t>Ω</m:t>
            </m:r>
          </m:den>
        </m:f>
        <m:r>
          <m:rPr>
            <m:sty m:val="p"/>
          </m:rPr>
          <w:rPr>
            <w:rFonts w:ascii="Cambria Math" w:hAnsi="Cambria Math"/>
            <w:color w:val="000000"/>
          </w:rPr>
          <m:t>,</m:t>
        </m:r>
        <m:r>
          <m:rPr>
            <m:sty m:val="p"/>
          </m:rPr>
          <w:rPr>
            <w:rFonts w:ascii="Cambria Math" w:hAnsi="Cambria Math"/>
            <w:color w:val="000000"/>
          </w:rPr>
          <m:t xml:space="preserve">  </m:t>
        </m:r>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bookmarkStart w:id="35" w:name="_GoBack"/>
      <w:bookmarkEnd w:id="35"/>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66C41A9A" w:rsidR="002116AD" w:rsidRPr="00794966"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6"/>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0C3D628F" w:rsidR="002116AD" w:rsidRPr="002F7672"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7"/>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29FACEE8" w:rsidR="002F7672" w:rsidRPr="002F7672"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8"/>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reorganize the equation, we have </w:t>
      </w:r>
    </w:p>
    <w:p w14:paraId="1C0D47B4" w14:textId="22FC289E" w:rsidR="002116AD" w:rsidRPr="000B140A"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9"/>
            </m:e>
          </m:eqArr>
        </m:oMath>
      </m:oMathPara>
    </w:p>
    <w:p w14:paraId="448484E7" w14:textId="6D3FC104" w:rsidR="002116AD" w:rsidRDefault="002116AD" w:rsidP="002116AD">
      <w:pPr>
        <w:rPr>
          <w:color w:val="000000"/>
        </w:rPr>
      </w:pPr>
      <w:r>
        <w:rPr>
          <w:color w:val="000000"/>
        </w:rPr>
        <w:lastRenderedPageBreak/>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40"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40"/>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441F24"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5B87DA8F" w:rsidR="00375E76" w:rsidRPr="00FB6200" w:rsidRDefault="00441F24"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1"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1"/>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441F24"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441F24"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lastRenderedPageBreak/>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Caption"/>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1700"/>
                    </a:xfrm>
                    <a:prstGeom prst="rect">
                      <a:avLst/>
                    </a:prstGeom>
                  </pic:spPr>
                </pic:pic>
              </a:graphicData>
            </a:graphic>
          </wp:inline>
        </w:drawing>
      </w:r>
    </w:p>
    <w:p w14:paraId="6176118E" w14:textId="42EB8534" w:rsidR="00D6775C" w:rsidRPr="00B30043" w:rsidRDefault="003D2630" w:rsidP="003D2630">
      <w:pPr>
        <w:pStyle w:val="Caption"/>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Caption"/>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441F24"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441F24"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441F24"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0"/>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Caption"/>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Caption"/>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9F049F7" w:rsidR="00705583" w:rsidRPr="00F7114A" w:rsidRDefault="00441F24"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2"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2"/>
    </w:p>
    <w:p w14:paraId="5F612550" w14:textId="77777777" w:rsidR="00312B51" w:rsidRPr="00312B51" w:rsidRDefault="00312B51" w:rsidP="00312B51">
      <w:pPr>
        <w:pStyle w:val="EndNoteBibliography"/>
        <w:spacing w:after="0"/>
        <w:ind w:left="720" w:hanging="720"/>
      </w:pPr>
      <w:bookmarkStart w:id="43"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3"/>
    </w:p>
    <w:p w14:paraId="2FFC26EE" w14:textId="77777777" w:rsidR="00312B51" w:rsidRPr="00312B51" w:rsidRDefault="00312B51" w:rsidP="00312B51">
      <w:pPr>
        <w:pStyle w:val="EndNoteBibliography"/>
        <w:spacing w:after="0"/>
        <w:ind w:left="720" w:hanging="720"/>
      </w:pPr>
      <w:bookmarkStart w:id="44"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4"/>
    </w:p>
    <w:p w14:paraId="39C194CB" w14:textId="77777777" w:rsidR="00312B51" w:rsidRPr="00312B51" w:rsidRDefault="00312B51" w:rsidP="00312B51">
      <w:pPr>
        <w:pStyle w:val="EndNoteBibliography"/>
        <w:spacing w:after="0"/>
        <w:ind w:left="720" w:hanging="720"/>
      </w:pPr>
      <w:bookmarkStart w:id="45"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5"/>
    </w:p>
    <w:p w14:paraId="116F5E4D" w14:textId="77777777" w:rsidR="00312B51" w:rsidRPr="00312B51" w:rsidRDefault="00312B51" w:rsidP="00312B51">
      <w:pPr>
        <w:pStyle w:val="EndNoteBibliography"/>
        <w:spacing w:after="0"/>
        <w:ind w:left="720" w:hanging="720"/>
      </w:pPr>
      <w:bookmarkStart w:id="46"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6"/>
    </w:p>
    <w:p w14:paraId="7507E074" w14:textId="77777777" w:rsidR="00312B51" w:rsidRPr="00312B51" w:rsidRDefault="00312B51" w:rsidP="00312B51">
      <w:pPr>
        <w:pStyle w:val="EndNoteBibliography"/>
        <w:spacing w:after="0"/>
        <w:ind w:left="720" w:hanging="720"/>
      </w:pPr>
      <w:bookmarkStart w:id="47"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7"/>
    </w:p>
    <w:p w14:paraId="470E4C07" w14:textId="77777777" w:rsidR="00312B51" w:rsidRPr="00312B51" w:rsidRDefault="00312B51" w:rsidP="00312B51">
      <w:pPr>
        <w:pStyle w:val="EndNoteBibliography"/>
        <w:spacing w:after="0"/>
        <w:ind w:left="720" w:hanging="720"/>
      </w:pPr>
      <w:bookmarkStart w:id="48"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8"/>
    </w:p>
    <w:p w14:paraId="73BD344F" w14:textId="77777777" w:rsidR="00312B51" w:rsidRPr="00312B51" w:rsidRDefault="00312B51" w:rsidP="00312B51">
      <w:pPr>
        <w:pStyle w:val="EndNoteBibliography"/>
        <w:spacing w:after="0"/>
        <w:ind w:left="720" w:hanging="720"/>
      </w:pPr>
      <w:bookmarkStart w:id="49"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49"/>
    </w:p>
    <w:p w14:paraId="6F10B27C" w14:textId="77777777" w:rsidR="00312B51" w:rsidRPr="00312B51" w:rsidRDefault="00312B51" w:rsidP="00312B51">
      <w:pPr>
        <w:pStyle w:val="EndNoteBibliography"/>
        <w:spacing w:after="0"/>
        <w:ind w:left="720" w:hanging="720"/>
      </w:pPr>
      <w:bookmarkStart w:id="50"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50"/>
    </w:p>
    <w:p w14:paraId="78C667EE" w14:textId="77777777" w:rsidR="00312B51" w:rsidRPr="00312B51" w:rsidRDefault="00312B51" w:rsidP="00312B51">
      <w:pPr>
        <w:pStyle w:val="EndNoteBibliography"/>
        <w:spacing w:after="0"/>
        <w:ind w:left="720" w:hanging="720"/>
        <w:rPr>
          <w:b/>
        </w:rPr>
      </w:pPr>
      <w:bookmarkStart w:id="51"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1"/>
    </w:p>
    <w:p w14:paraId="2D369449" w14:textId="77777777" w:rsidR="00312B51" w:rsidRPr="00312B51" w:rsidRDefault="00312B51" w:rsidP="00312B51">
      <w:pPr>
        <w:pStyle w:val="EndNoteBibliography"/>
        <w:spacing w:after="0"/>
        <w:ind w:left="720" w:hanging="720"/>
      </w:pPr>
      <w:bookmarkStart w:id="52"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2"/>
    </w:p>
    <w:p w14:paraId="7C7460E5" w14:textId="77777777" w:rsidR="00312B51" w:rsidRPr="00312B51" w:rsidRDefault="00312B51" w:rsidP="00312B51">
      <w:pPr>
        <w:pStyle w:val="EndNoteBibliography"/>
        <w:spacing w:after="0"/>
        <w:ind w:left="720" w:hanging="720"/>
      </w:pPr>
      <w:bookmarkStart w:id="53"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3"/>
    </w:p>
    <w:p w14:paraId="432A4618" w14:textId="77777777" w:rsidR="00312B51" w:rsidRPr="00312B51" w:rsidRDefault="00312B51" w:rsidP="00312B51">
      <w:pPr>
        <w:pStyle w:val="EndNoteBibliography"/>
        <w:spacing w:after="0"/>
        <w:ind w:left="720" w:hanging="720"/>
      </w:pPr>
      <w:bookmarkStart w:id="54"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4"/>
    </w:p>
    <w:p w14:paraId="35C04C13" w14:textId="77777777" w:rsidR="00312B51" w:rsidRPr="00312B51" w:rsidRDefault="00312B51" w:rsidP="00312B51">
      <w:pPr>
        <w:pStyle w:val="EndNoteBibliography"/>
        <w:spacing w:after="0"/>
        <w:ind w:left="720" w:hanging="720"/>
      </w:pPr>
      <w:bookmarkStart w:id="55"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5"/>
    </w:p>
    <w:p w14:paraId="5180D49D" w14:textId="77777777" w:rsidR="00312B51" w:rsidRPr="00312B51" w:rsidRDefault="00312B51" w:rsidP="00312B51">
      <w:pPr>
        <w:pStyle w:val="EndNoteBibliography"/>
        <w:spacing w:after="0"/>
        <w:ind w:left="720" w:hanging="720"/>
      </w:pPr>
      <w:bookmarkStart w:id="56"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6"/>
    </w:p>
    <w:p w14:paraId="24F38FAD" w14:textId="77777777" w:rsidR="00312B51" w:rsidRPr="00312B51" w:rsidRDefault="00312B51" w:rsidP="00312B51">
      <w:pPr>
        <w:pStyle w:val="EndNoteBibliography"/>
        <w:spacing w:after="0"/>
        <w:ind w:left="720" w:hanging="720"/>
      </w:pPr>
      <w:bookmarkStart w:id="57"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7"/>
    </w:p>
    <w:p w14:paraId="19C5BD9C" w14:textId="77777777" w:rsidR="00312B51" w:rsidRPr="00312B51" w:rsidRDefault="00312B51" w:rsidP="00312B51">
      <w:pPr>
        <w:pStyle w:val="EndNoteBibliography"/>
        <w:spacing w:after="0"/>
        <w:ind w:left="720" w:hanging="720"/>
      </w:pPr>
      <w:bookmarkStart w:id="58"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8"/>
    </w:p>
    <w:p w14:paraId="7D341465" w14:textId="77777777" w:rsidR="00312B51" w:rsidRPr="00312B51" w:rsidRDefault="00312B51" w:rsidP="00312B51">
      <w:pPr>
        <w:pStyle w:val="EndNoteBibliography"/>
        <w:spacing w:after="0"/>
        <w:ind w:left="720" w:hanging="720"/>
      </w:pPr>
      <w:bookmarkStart w:id="59"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59"/>
    </w:p>
    <w:p w14:paraId="4D0A1D26" w14:textId="77777777" w:rsidR="00312B51" w:rsidRPr="00312B51" w:rsidRDefault="00312B51" w:rsidP="00312B51">
      <w:pPr>
        <w:pStyle w:val="EndNoteBibliography"/>
        <w:spacing w:after="0"/>
        <w:ind w:left="720" w:hanging="720"/>
      </w:pPr>
      <w:bookmarkStart w:id="60"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60"/>
    </w:p>
    <w:p w14:paraId="25AD869A" w14:textId="77777777" w:rsidR="00312B51" w:rsidRPr="00312B51" w:rsidRDefault="00312B51" w:rsidP="00312B51">
      <w:pPr>
        <w:pStyle w:val="EndNoteBibliography"/>
        <w:spacing w:after="0"/>
        <w:ind w:left="720" w:hanging="720"/>
        <w:rPr>
          <w:b/>
        </w:rPr>
      </w:pPr>
      <w:bookmarkStart w:id="61"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1"/>
    </w:p>
    <w:p w14:paraId="29531D7F" w14:textId="77777777" w:rsidR="00312B51" w:rsidRPr="00312B51" w:rsidRDefault="00312B51" w:rsidP="00312B51">
      <w:pPr>
        <w:pStyle w:val="EndNoteBibliography"/>
        <w:spacing w:after="0"/>
        <w:ind w:left="720" w:hanging="720"/>
      </w:pPr>
      <w:bookmarkStart w:id="62"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2"/>
    </w:p>
    <w:p w14:paraId="1A404012" w14:textId="77777777" w:rsidR="00312B51" w:rsidRPr="00312B51" w:rsidRDefault="00312B51" w:rsidP="00312B51">
      <w:pPr>
        <w:pStyle w:val="EndNoteBibliography"/>
        <w:ind w:left="720" w:hanging="720"/>
      </w:pPr>
      <w:bookmarkStart w:id="63"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3"/>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E67A3" w14:textId="77777777" w:rsidR="007A59D7" w:rsidRDefault="007A59D7" w:rsidP="00FD4FE0">
      <w:pPr>
        <w:spacing w:after="0" w:line="240" w:lineRule="auto"/>
      </w:pPr>
      <w:r>
        <w:separator/>
      </w:r>
    </w:p>
  </w:endnote>
  <w:endnote w:type="continuationSeparator" w:id="0">
    <w:p w14:paraId="2F325157" w14:textId="77777777" w:rsidR="007A59D7" w:rsidRDefault="007A59D7"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07A3A" w14:textId="77777777" w:rsidR="007A59D7" w:rsidRDefault="007A59D7" w:rsidP="00FD4FE0">
      <w:pPr>
        <w:spacing w:after="0" w:line="240" w:lineRule="auto"/>
      </w:pPr>
      <w:r>
        <w:separator/>
      </w:r>
    </w:p>
  </w:footnote>
  <w:footnote w:type="continuationSeparator" w:id="0">
    <w:p w14:paraId="4257B1AF" w14:textId="77777777" w:rsidR="007A59D7" w:rsidRDefault="007A59D7"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479A6"/>
    <w:rsid w:val="00077196"/>
    <w:rsid w:val="00097C4D"/>
    <w:rsid w:val="000A2702"/>
    <w:rsid w:val="000A64A0"/>
    <w:rsid w:val="000B111D"/>
    <w:rsid w:val="000B1B13"/>
    <w:rsid w:val="000C08C0"/>
    <w:rsid w:val="000C4E5C"/>
    <w:rsid w:val="000C5374"/>
    <w:rsid w:val="000D1A21"/>
    <w:rsid w:val="000D614C"/>
    <w:rsid w:val="000E3750"/>
    <w:rsid w:val="000E6E3E"/>
    <w:rsid w:val="00107FC6"/>
    <w:rsid w:val="001129F2"/>
    <w:rsid w:val="00115332"/>
    <w:rsid w:val="001174DC"/>
    <w:rsid w:val="00117E2E"/>
    <w:rsid w:val="001214B7"/>
    <w:rsid w:val="00124B41"/>
    <w:rsid w:val="0013075D"/>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34B1"/>
    <w:rsid w:val="0020468D"/>
    <w:rsid w:val="00206E0E"/>
    <w:rsid w:val="00207CB4"/>
    <w:rsid w:val="002116AD"/>
    <w:rsid w:val="00217147"/>
    <w:rsid w:val="00220092"/>
    <w:rsid w:val="00220913"/>
    <w:rsid w:val="00234536"/>
    <w:rsid w:val="00237CC8"/>
    <w:rsid w:val="00255CA0"/>
    <w:rsid w:val="00256312"/>
    <w:rsid w:val="0028214B"/>
    <w:rsid w:val="002831C1"/>
    <w:rsid w:val="002A5604"/>
    <w:rsid w:val="002B10AC"/>
    <w:rsid w:val="002F7672"/>
    <w:rsid w:val="00301BBC"/>
    <w:rsid w:val="00303D7A"/>
    <w:rsid w:val="00312B51"/>
    <w:rsid w:val="00315700"/>
    <w:rsid w:val="003170A9"/>
    <w:rsid w:val="00317B36"/>
    <w:rsid w:val="00325641"/>
    <w:rsid w:val="00331D86"/>
    <w:rsid w:val="003473C9"/>
    <w:rsid w:val="00354123"/>
    <w:rsid w:val="00375E76"/>
    <w:rsid w:val="00383518"/>
    <w:rsid w:val="00384804"/>
    <w:rsid w:val="00396A39"/>
    <w:rsid w:val="003A04B3"/>
    <w:rsid w:val="003B4D49"/>
    <w:rsid w:val="003B6BA2"/>
    <w:rsid w:val="003C026C"/>
    <w:rsid w:val="003C57F2"/>
    <w:rsid w:val="003C61A3"/>
    <w:rsid w:val="003D1B66"/>
    <w:rsid w:val="003D2630"/>
    <w:rsid w:val="003F49A7"/>
    <w:rsid w:val="003F5CE2"/>
    <w:rsid w:val="00404BCA"/>
    <w:rsid w:val="00412EB8"/>
    <w:rsid w:val="00426E5F"/>
    <w:rsid w:val="00437B34"/>
    <w:rsid w:val="00441F24"/>
    <w:rsid w:val="00442E61"/>
    <w:rsid w:val="0044331C"/>
    <w:rsid w:val="00443EAA"/>
    <w:rsid w:val="00467A11"/>
    <w:rsid w:val="0048152F"/>
    <w:rsid w:val="004A04FF"/>
    <w:rsid w:val="004B348F"/>
    <w:rsid w:val="004C29F4"/>
    <w:rsid w:val="004C43A8"/>
    <w:rsid w:val="004E42D9"/>
    <w:rsid w:val="004F455C"/>
    <w:rsid w:val="005121E9"/>
    <w:rsid w:val="005215E9"/>
    <w:rsid w:val="0052194C"/>
    <w:rsid w:val="0052372E"/>
    <w:rsid w:val="00527607"/>
    <w:rsid w:val="00556F6E"/>
    <w:rsid w:val="00582670"/>
    <w:rsid w:val="00594ABC"/>
    <w:rsid w:val="005A00E1"/>
    <w:rsid w:val="005A62A1"/>
    <w:rsid w:val="005B50AA"/>
    <w:rsid w:val="005B543E"/>
    <w:rsid w:val="005D4FB0"/>
    <w:rsid w:val="005E0ECB"/>
    <w:rsid w:val="00614CA0"/>
    <w:rsid w:val="00617732"/>
    <w:rsid w:val="00622B68"/>
    <w:rsid w:val="00622F4A"/>
    <w:rsid w:val="00623CEA"/>
    <w:rsid w:val="00636381"/>
    <w:rsid w:val="00641A44"/>
    <w:rsid w:val="00684F1C"/>
    <w:rsid w:val="006962A0"/>
    <w:rsid w:val="006A13C8"/>
    <w:rsid w:val="006A529B"/>
    <w:rsid w:val="006A5918"/>
    <w:rsid w:val="006C3E0C"/>
    <w:rsid w:val="0070513F"/>
    <w:rsid w:val="00705583"/>
    <w:rsid w:val="00711EE2"/>
    <w:rsid w:val="007300DC"/>
    <w:rsid w:val="00744C47"/>
    <w:rsid w:val="007518C1"/>
    <w:rsid w:val="0076074E"/>
    <w:rsid w:val="00760820"/>
    <w:rsid w:val="00761320"/>
    <w:rsid w:val="00761339"/>
    <w:rsid w:val="00776D5B"/>
    <w:rsid w:val="00790B0F"/>
    <w:rsid w:val="00794966"/>
    <w:rsid w:val="007A501F"/>
    <w:rsid w:val="007A59D7"/>
    <w:rsid w:val="007A65DB"/>
    <w:rsid w:val="007B3E86"/>
    <w:rsid w:val="007B5F6B"/>
    <w:rsid w:val="007B749A"/>
    <w:rsid w:val="007E2039"/>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E123A"/>
    <w:rsid w:val="008F5656"/>
    <w:rsid w:val="00901A94"/>
    <w:rsid w:val="00902484"/>
    <w:rsid w:val="009360D0"/>
    <w:rsid w:val="0094220F"/>
    <w:rsid w:val="00960719"/>
    <w:rsid w:val="00962502"/>
    <w:rsid w:val="00982900"/>
    <w:rsid w:val="009907A7"/>
    <w:rsid w:val="009A3E53"/>
    <w:rsid w:val="009B39FF"/>
    <w:rsid w:val="009D3C53"/>
    <w:rsid w:val="009D5B92"/>
    <w:rsid w:val="009E0278"/>
    <w:rsid w:val="009F0606"/>
    <w:rsid w:val="00A0184D"/>
    <w:rsid w:val="00A04258"/>
    <w:rsid w:val="00A364E1"/>
    <w:rsid w:val="00A457C8"/>
    <w:rsid w:val="00A606EA"/>
    <w:rsid w:val="00A6579F"/>
    <w:rsid w:val="00A71B8D"/>
    <w:rsid w:val="00A72526"/>
    <w:rsid w:val="00A779B8"/>
    <w:rsid w:val="00A877A4"/>
    <w:rsid w:val="00A910D3"/>
    <w:rsid w:val="00A92F69"/>
    <w:rsid w:val="00A93C5F"/>
    <w:rsid w:val="00A96230"/>
    <w:rsid w:val="00A97FA7"/>
    <w:rsid w:val="00AA18BF"/>
    <w:rsid w:val="00AA479F"/>
    <w:rsid w:val="00AA5B31"/>
    <w:rsid w:val="00AC6FA6"/>
    <w:rsid w:val="00AD338A"/>
    <w:rsid w:val="00AD7AE7"/>
    <w:rsid w:val="00AE74CA"/>
    <w:rsid w:val="00AF6358"/>
    <w:rsid w:val="00B06CE9"/>
    <w:rsid w:val="00B07C92"/>
    <w:rsid w:val="00B2234C"/>
    <w:rsid w:val="00B30043"/>
    <w:rsid w:val="00B31503"/>
    <w:rsid w:val="00B32A54"/>
    <w:rsid w:val="00B32F0A"/>
    <w:rsid w:val="00B52633"/>
    <w:rsid w:val="00B62D33"/>
    <w:rsid w:val="00B6718C"/>
    <w:rsid w:val="00B722F5"/>
    <w:rsid w:val="00B733AC"/>
    <w:rsid w:val="00B80936"/>
    <w:rsid w:val="00BA5DDD"/>
    <w:rsid w:val="00BA6518"/>
    <w:rsid w:val="00BB5B1A"/>
    <w:rsid w:val="00BC2CC4"/>
    <w:rsid w:val="00BC3798"/>
    <w:rsid w:val="00BC4F39"/>
    <w:rsid w:val="00BE04A2"/>
    <w:rsid w:val="00BF5B81"/>
    <w:rsid w:val="00C040D1"/>
    <w:rsid w:val="00C25B79"/>
    <w:rsid w:val="00C66FAA"/>
    <w:rsid w:val="00C81504"/>
    <w:rsid w:val="00C8188E"/>
    <w:rsid w:val="00C96F25"/>
    <w:rsid w:val="00CA7A2A"/>
    <w:rsid w:val="00CB6387"/>
    <w:rsid w:val="00CB7AFC"/>
    <w:rsid w:val="00CD17F3"/>
    <w:rsid w:val="00CD744C"/>
    <w:rsid w:val="00D06767"/>
    <w:rsid w:val="00D37C0C"/>
    <w:rsid w:val="00D41DB4"/>
    <w:rsid w:val="00D5293C"/>
    <w:rsid w:val="00D64D3D"/>
    <w:rsid w:val="00D6775C"/>
    <w:rsid w:val="00D72C0C"/>
    <w:rsid w:val="00D77C9A"/>
    <w:rsid w:val="00D93524"/>
    <w:rsid w:val="00D9761F"/>
    <w:rsid w:val="00DB6F13"/>
    <w:rsid w:val="00DC43A5"/>
    <w:rsid w:val="00DD5179"/>
    <w:rsid w:val="00DF5B1A"/>
    <w:rsid w:val="00E06921"/>
    <w:rsid w:val="00E10DE3"/>
    <w:rsid w:val="00E13C17"/>
    <w:rsid w:val="00E3067D"/>
    <w:rsid w:val="00E334BC"/>
    <w:rsid w:val="00E35C68"/>
    <w:rsid w:val="00E45BBB"/>
    <w:rsid w:val="00E47F5D"/>
    <w:rsid w:val="00E52D96"/>
    <w:rsid w:val="00E53D1C"/>
    <w:rsid w:val="00E57446"/>
    <w:rsid w:val="00E57C58"/>
    <w:rsid w:val="00E6087D"/>
    <w:rsid w:val="00E718AB"/>
    <w:rsid w:val="00E7311C"/>
    <w:rsid w:val="00E83251"/>
    <w:rsid w:val="00E86428"/>
    <w:rsid w:val="00E869B7"/>
    <w:rsid w:val="00E92813"/>
    <w:rsid w:val="00E9536E"/>
    <w:rsid w:val="00E9705C"/>
    <w:rsid w:val="00EA21E2"/>
    <w:rsid w:val="00EA4C7F"/>
    <w:rsid w:val="00EB5884"/>
    <w:rsid w:val="00ED24C3"/>
    <w:rsid w:val="00ED3335"/>
    <w:rsid w:val="00EE7CDF"/>
    <w:rsid w:val="00F127D9"/>
    <w:rsid w:val="00F27722"/>
    <w:rsid w:val="00F30931"/>
    <w:rsid w:val="00F3131C"/>
    <w:rsid w:val="00F434BD"/>
    <w:rsid w:val="00F45AA8"/>
    <w:rsid w:val="00F50FEE"/>
    <w:rsid w:val="00F51A1B"/>
    <w:rsid w:val="00F5518A"/>
    <w:rsid w:val="00F7114A"/>
    <w:rsid w:val="00F71287"/>
    <w:rsid w:val="00F73B65"/>
    <w:rsid w:val="00F912CF"/>
    <w:rsid w:val="00FA3C92"/>
    <w:rsid w:val="00FB53A8"/>
    <w:rsid w:val="00FB5AB8"/>
    <w:rsid w:val="00FB6200"/>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Pages>
  <Words>6043</Words>
  <Characters>34447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7</cp:revision>
  <dcterms:created xsi:type="dcterms:W3CDTF">2025-07-01T19:43:00Z</dcterms:created>
  <dcterms:modified xsi:type="dcterms:W3CDTF">2025-07-06T13:07:00Z</dcterms:modified>
</cp:coreProperties>
</file>