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pPr>
      <w:r>
        <w:rPr>
          <w:rFonts w:ascii="Times New Roman" w:hAnsi="Times New Roman"/>
          <w:b w:val="1"/>
          <w:bCs w:val="1"/>
          <w:sz w:val="26"/>
          <w:szCs w:val="26"/>
          <w:rtl w:val="0"/>
          <w:lang w:val="en-US"/>
        </w:rPr>
        <w:t>UNDERSTANDING MENTAL HEALTH: AWARENESS, CHALLENGES, AND AI-ASSISTED EARLY SUPPORT SYSTEMS</w:t>
      </w:r>
      <w:r>
        <w:rPr>
          <w:rFonts w:ascii="Times New Roman" w:cs="Times New Roman" w:hAnsi="Times New Roman" w:eastAsia="Times New Roman"/>
          <w:b w:val="1"/>
          <w:bCs w:val="1"/>
          <w:sz w:val="26"/>
          <w:szCs w:val="26"/>
        </w:rPr>
        <w:br w:type="textWrapping"/>
      </w:r>
    </w:p>
    <w:tbl>
      <w:tblPr>
        <w:tblW w:w="102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5"/>
        <w:gridCol w:w="2555"/>
        <w:gridCol w:w="2555"/>
        <w:gridCol w:w="2555"/>
      </w:tblGrid>
      <w:tr>
        <w:tblPrEx>
          <w:shd w:val="clear" w:color="auto" w:fill="ced7e7"/>
        </w:tblPrEx>
        <w:trPr>
          <w:trHeight w:val="1700" w:hRule="atLeast"/>
        </w:trPr>
        <w:tc>
          <w:tcPr>
            <w:tcW w:type="dxa" w:w="2555"/>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u w:color="000000"/>
                <w:shd w:val="nil" w:color="auto" w:fill="auto"/>
                <w:rtl w:val="0"/>
              </w:rPr>
            </w:pPr>
            <w:r>
              <w:rPr>
                <w:rFonts w:ascii="Times New Roman" w:hAnsi="Times New Roman"/>
                <w:sz w:val="20"/>
                <w:szCs w:val="20"/>
                <w:u w:color="000000"/>
                <w:rtl w:val="0"/>
                <w:lang w:val="en-US"/>
              </w:rPr>
              <w:t>Aditya Narayan</w:t>
            </w:r>
          </w:p>
          <w:p>
            <w:pPr>
              <w:pStyle w:val="Default"/>
              <w:tabs>
                <w:tab w:val="left" w:pos="720"/>
                <w:tab w:val="left" w:pos="1440"/>
                <w:tab w:val="left" w:pos="2160"/>
              </w:tabs>
              <w:rPr>
                <w:rFonts w:ascii="Times New Roman" w:cs="Times New Roman" w:hAnsi="Times New Roman" w:eastAsia="Times New Roman"/>
                <w:sz w:val="18"/>
                <w:szCs w:val="18"/>
                <w:u w:color="000000"/>
                <w:shd w:val="nil" w:color="auto" w:fill="auto"/>
              </w:rPr>
            </w:pPr>
            <w:r>
              <w:rPr>
                <w:rFonts w:ascii="Times New Roman" w:hAnsi="Times New Roman"/>
                <w:sz w:val="18"/>
                <w:szCs w:val="18"/>
                <w:u w:color="000000"/>
                <w:rtl w:val="0"/>
                <w:lang w:val="en-US"/>
              </w:rPr>
              <w:t>Information Technology</w:t>
            </w:r>
          </w:p>
          <w:p>
            <w:pPr>
              <w:pStyle w:val="Default"/>
              <w:tabs>
                <w:tab w:val="left" w:pos="720"/>
                <w:tab w:val="left" w:pos="1440"/>
                <w:tab w:val="left" w:pos="2160"/>
              </w:tabs>
              <w:rPr>
                <w:rFonts w:ascii="Times New Roman" w:cs="Times New Roman" w:hAnsi="Times New Roman" w:eastAsia="Times New Roman"/>
                <w:sz w:val="18"/>
                <w:szCs w:val="18"/>
                <w:u w:color="000000"/>
                <w:shd w:val="nil" w:color="auto" w:fill="auto"/>
              </w:rPr>
            </w:pPr>
            <w:r>
              <w:rPr>
                <w:rFonts w:ascii="Times New Roman" w:hAnsi="Times New Roman"/>
                <w:sz w:val="18"/>
                <w:szCs w:val="18"/>
                <w:u w:color="000000"/>
                <w:rtl w:val="0"/>
                <w:lang w:val="en-US"/>
              </w:rPr>
              <w:t>Gl Bajaj Institute of Technology and Management</w:t>
            </w:r>
          </w:p>
          <w:p>
            <w:pPr>
              <w:pStyle w:val="Default"/>
              <w:tabs>
                <w:tab w:val="left" w:pos="720"/>
                <w:tab w:val="left" w:pos="1440"/>
                <w:tab w:val="left" w:pos="2160"/>
              </w:tabs>
            </w:pPr>
            <w:r>
              <w:rPr>
                <w:rFonts w:ascii="Times New Roman" w:hAnsi="Times New Roman"/>
                <w:sz w:val="18"/>
                <w:szCs w:val="18"/>
                <w:u w:color="000000"/>
                <w:shd w:val="nil" w:color="auto" w:fill="auto"/>
                <w:rtl w:val="0"/>
                <w:lang w:val="en-US"/>
              </w:rPr>
              <w:t>Greater Noida, 201306</w:t>
            </w:r>
          </w:p>
        </w:tc>
        <w:tc>
          <w:tcPr>
            <w:tcW w:type="dxa" w:w="255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u w:color="000000"/>
                <w:shd w:val="nil" w:color="auto" w:fill="auto"/>
                <w:rtl w:val="0"/>
              </w:rPr>
            </w:pPr>
            <w:r>
              <w:rPr>
                <w:rFonts w:ascii="Times New Roman" w:hAnsi="Times New Roman"/>
                <w:sz w:val="20"/>
                <w:szCs w:val="20"/>
                <w:u w:color="000000"/>
                <w:rtl w:val="0"/>
                <w:lang w:val="en-US"/>
              </w:rPr>
              <w:t>Utkarsh Kumar Singh</w:t>
            </w:r>
          </w:p>
          <w:p>
            <w:pPr>
              <w:pStyle w:val="Default"/>
              <w:tabs>
                <w:tab w:val="left" w:pos="720"/>
                <w:tab w:val="left" w:pos="1440"/>
                <w:tab w:val="left" w:pos="2160"/>
              </w:tabs>
              <w:rPr>
                <w:rFonts w:ascii="Times New Roman" w:cs="Times New Roman" w:hAnsi="Times New Roman" w:eastAsia="Times New Roman"/>
                <w:sz w:val="18"/>
                <w:szCs w:val="18"/>
                <w:u w:color="000000"/>
                <w:shd w:val="nil" w:color="auto" w:fill="auto"/>
              </w:rPr>
            </w:pPr>
            <w:r>
              <w:rPr>
                <w:rFonts w:ascii="Times New Roman" w:hAnsi="Times New Roman"/>
                <w:sz w:val="18"/>
                <w:szCs w:val="18"/>
                <w:u w:color="000000"/>
                <w:shd w:val="nil" w:color="auto" w:fill="auto"/>
                <w:rtl w:val="0"/>
                <w:lang w:val="en-US"/>
              </w:rPr>
              <w:t>Information Technology</w:t>
            </w:r>
          </w:p>
          <w:p>
            <w:pPr>
              <w:pStyle w:val="Default"/>
              <w:tabs>
                <w:tab w:val="left" w:pos="720"/>
                <w:tab w:val="left" w:pos="1440"/>
                <w:tab w:val="left" w:pos="2160"/>
              </w:tabs>
              <w:rPr>
                <w:rFonts w:ascii="Times New Roman" w:cs="Times New Roman" w:hAnsi="Times New Roman" w:eastAsia="Times New Roman"/>
                <w:sz w:val="18"/>
                <w:szCs w:val="18"/>
                <w:u w:color="000000"/>
                <w:shd w:val="nil" w:color="auto" w:fill="auto"/>
              </w:rPr>
            </w:pPr>
            <w:r>
              <w:rPr>
                <w:rFonts w:ascii="Times New Roman" w:hAnsi="Times New Roman"/>
                <w:sz w:val="18"/>
                <w:szCs w:val="18"/>
                <w:u w:color="000000"/>
                <w:shd w:val="nil" w:color="auto" w:fill="auto"/>
                <w:rtl w:val="0"/>
                <w:lang w:val="en-US"/>
              </w:rPr>
              <w:t>Gl Bajaj Institute of Technology and Management</w:t>
            </w:r>
          </w:p>
          <w:p>
            <w:pPr>
              <w:pStyle w:val="Default"/>
              <w:tabs>
                <w:tab w:val="left" w:pos="720"/>
                <w:tab w:val="left" w:pos="1440"/>
                <w:tab w:val="left" w:pos="2160"/>
              </w:tabs>
            </w:pPr>
            <w:r>
              <w:rPr>
                <w:rFonts w:ascii="Times New Roman" w:hAnsi="Times New Roman"/>
                <w:sz w:val="18"/>
                <w:szCs w:val="18"/>
                <w:u w:color="000000"/>
                <w:shd w:val="nil" w:color="auto" w:fill="auto"/>
                <w:rtl w:val="0"/>
                <w:lang w:val="en-US"/>
              </w:rPr>
              <w:t>Greater Noida, 201306</w:t>
            </w:r>
          </w:p>
        </w:tc>
        <w:tc>
          <w:tcPr>
            <w:tcW w:type="dxa" w:w="255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u w:color="000000"/>
                <w:shd w:val="nil" w:color="auto" w:fill="auto"/>
                <w:rtl w:val="0"/>
              </w:rPr>
            </w:pPr>
            <w:r>
              <w:rPr>
                <w:rFonts w:ascii="Times New Roman" w:hAnsi="Times New Roman"/>
                <w:sz w:val="20"/>
                <w:szCs w:val="20"/>
                <w:u w:color="000000"/>
                <w:rtl w:val="0"/>
                <w:lang w:val="en-US"/>
              </w:rPr>
              <w:t>Vinayak Srivastava</w:t>
            </w:r>
          </w:p>
          <w:p>
            <w:pPr>
              <w:pStyle w:val="Default"/>
              <w:tabs>
                <w:tab w:val="left" w:pos="720"/>
                <w:tab w:val="left" w:pos="1440"/>
                <w:tab w:val="left" w:pos="2160"/>
              </w:tabs>
              <w:rPr>
                <w:rFonts w:ascii="Times New Roman" w:cs="Times New Roman" w:hAnsi="Times New Roman" w:eastAsia="Times New Roman"/>
                <w:sz w:val="18"/>
                <w:szCs w:val="18"/>
                <w:u w:color="000000"/>
                <w:shd w:val="nil" w:color="auto" w:fill="auto"/>
              </w:rPr>
            </w:pPr>
            <w:r>
              <w:rPr>
                <w:rFonts w:ascii="Times New Roman" w:hAnsi="Times New Roman"/>
                <w:sz w:val="18"/>
                <w:szCs w:val="18"/>
                <w:u w:color="000000"/>
                <w:shd w:val="nil" w:color="auto" w:fill="auto"/>
                <w:rtl w:val="0"/>
                <w:lang w:val="en-US"/>
              </w:rPr>
              <w:t>Information Technology</w:t>
            </w:r>
          </w:p>
          <w:p>
            <w:pPr>
              <w:pStyle w:val="Default"/>
              <w:tabs>
                <w:tab w:val="left" w:pos="720"/>
                <w:tab w:val="left" w:pos="1440"/>
                <w:tab w:val="left" w:pos="2160"/>
              </w:tabs>
              <w:rPr>
                <w:rFonts w:ascii="Times New Roman" w:cs="Times New Roman" w:hAnsi="Times New Roman" w:eastAsia="Times New Roman"/>
                <w:sz w:val="18"/>
                <w:szCs w:val="18"/>
                <w:u w:color="000000"/>
                <w:shd w:val="nil" w:color="auto" w:fill="auto"/>
              </w:rPr>
            </w:pPr>
            <w:r>
              <w:rPr>
                <w:rFonts w:ascii="Times New Roman" w:hAnsi="Times New Roman"/>
                <w:sz w:val="18"/>
                <w:szCs w:val="18"/>
                <w:u w:color="000000"/>
                <w:shd w:val="nil" w:color="auto" w:fill="auto"/>
                <w:rtl w:val="0"/>
                <w:lang w:val="en-US"/>
              </w:rPr>
              <w:t>Gl Bajaj Institute of Technology and Management</w:t>
            </w:r>
          </w:p>
          <w:p>
            <w:pPr>
              <w:pStyle w:val="Default"/>
              <w:tabs>
                <w:tab w:val="left" w:pos="720"/>
                <w:tab w:val="left" w:pos="1440"/>
                <w:tab w:val="left" w:pos="2160"/>
              </w:tabs>
            </w:pPr>
            <w:r>
              <w:rPr>
                <w:rFonts w:ascii="Times New Roman" w:hAnsi="Times New Roman"/>
                <w:sz w:val="18"/>
                <w:szCs w:val="18"/>
                <w:u w:color="000000"/>
                <w:shd w:val="nil" w:color="auto" w:fill="auto"/>
                <w:rtl w:val="0"/>
                <w:lang w:val="en-US"/>
              </w:rPr>
              <w:t>Greater Noida, 201306</w:t>
            </w:r>
          </w:p>
        </w:tc>
        <w:tc>
          <w:tcPr>
            <w:tcW w:type="dxa" w:w="2555"/>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Fonts w:ascii="Times New Roman" w:cs="Times New Roman" w:hAnsi="Times New Roman" w:eastAsia="Times New Roman"/>
                <w:sz w:val="20"/>
                <w:szCs w:val="20"/>
                <w:u w:color="000000"/>
                <w:shd w:val="nil" w:color="auto" w:fill="auto"/>
                <w:rtl w:val="0"/>
              </w:rPr>
            </w:pPr>
            <w:r>
              <w:rPr>
                <w:rFonts w:ascii="Times New Roman" w:hAnsi="Times New Roman"/>
                <w:sz w:val="20"/>
                <w:szCs w:val="20"/>
                <w:u w:color="000000"/>
                <w:rtl w:val="0"/>
                <w:lang w:val="en-US"/>
              </w:rPr>
              <w:t>Vipul Upadhyay</w:t>
            </w:r>
          </w:p>
          <w:p>
            <w:pPr>
              <w:pStyle w:val="Default"/>
              <w:tabs>
                <w:tab w:val="left" w:pos="720"/>
                <w:tab w:val="left" w:pos="1440"/>
                <w:tab w:val="left" w:pos="2160"/>
              </w:tabs>
              <w:rPr>
                <w:rFonts w:ascii="Times New Roman" w:cs="Times New Roman" w:hAnsi="Times New Roman" w:eastAsia="Times New Roman"/>
                <w:sz w:val="18"/>
                <w:szCs w:val="18"/>
                <w:u w:color="000000"/>
                <w:shd w:val="nil" w:color="auto" w:fill="auto"/>
              </w:rPr>
            </w:pPr>
            <w:r>
              <w:rPr>
                <w:rFonts w:ascii="Times New Roman" w:hAnsi="Times New Roman"/>
                <w:sz w:val="18"/>
                <w:szCs w:val="18"/>
                <w:u w:color="000000"/>
                <w:shd w:val="nil" w:color="auto" w:fill="auto"/>
                <w:rtl w:val="0"/>
                <w:lang w:val="en-US"/>
              </w:rPr>
              <w:t>Information Technology</w:t>
            </w:r>
          </w:p>
          <w:p>
            <w:pPr>
              <w:pStyle w:val="Default"/>
              <w:tabs>
                <w:tab w:val="left" w:pos="720"/>
                <w:tab w:val="left" w:pos="1440"/>
                <w:tab w:val="left" w:pos="2160"/>
              </w:tabs>
              <w:rPr>
                <w:rFonts w:ascii="Times New Roman" w:cs="Times New Roman" w:hAnsi="Times New Roman" w:eastAsia="Times New Roman"/>
                <w:sz w:val="18"/>
                <w:szCs w:val="18"/>
                <w:u w:color="000000"/>
                <w:shd w:val="nil" w:color="auto" w:fill="auto"/>
              </w:rPr>
            </w:pPr>
            <w:r>
              <w:rPr>
                <w:rFonts w:ascii="Times New Roman" w:hAnsi="Times New Roman"/>
                <w:sz w:val="18"/>
                <w:szCs w:val="18"/>
                <w:u w:color="000000"/>
                <w:shd w:val="nil" w:color="auto" w:fill="auto"/>
                <w:rtl w:val="0"/>
                <w:lang w:val="en-US"/>
              </w:rPr>
              <w:t>Gl Bajaj Institute of Technology and Management</w:t>
            </w:r>
          </w:p>
          <w:p>
            <w:pPr>
              <w:pStyle w:val="Default"/>
              <w:tabs>
                <w:tab w:val="left" w:pos="720"/>
                <w:tab w:val="left" w:pos="1440"/>
                <w:tab w:val="left" w:pos="2160"/>
              </w:tabs>
            </w:pPr>
            <w:r>
              <w:rPr>
                <w:rFonts w:ascii="Times New Roman" w:hAnsi="Times New Roman"/>
                <w:sz w:val="18"/>
                <w:szCs w:val="18"/>
                <w:u w:color="000000"/>
                <w:shd w:val="nil" w:color="auto" w:fill="auto"/>
                <w:rtl w:val="0"/>
                <w:lang w:val="en-US"/>
              </w:rPr>
              <w:t>Greater Noida, 201306</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cs="Times New Roman" w:hAnsi="Times New Roman" w:eastAsia="Times New Roman"/>
          <w:sz w:val="20"/>
          <w:szCs w:val="20"/>
        </w:rPr>
      </w:pPr>
      <w:r>
        <w:rPr>
          <w:rFonts w:ascii="Times New Roman" w:hAnsi="Times New Roman"/>
          <w:b w:val="1"/>
          <w:bCs w:val="1"/>
          <w:sz w:val="20"/>
          <w:szCs w:val="20"/>
          <w:rtl w:val="0"/>
          <w:lang w:val="de-DE"/>
        </w:rPr>
        <w:t>ABSTRACT</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sz w:val="20"/>
          <w:szCs w:val="20"/>
          <w:rtl w:val="0"/>
          <w:lang w:val="en-US"/>
        </w:rPr>
        <w:t xml:space="preserve">Mental health has quietly moved beyond clinical settings. It shows up in college dorms, office break rooms, and family dinners </w:t>
      </w:r>
      <w:r>
        <w:rPr>
          <w:rFonts w:ascii="Times New Roman" w:hAnsi="Times New Roman" w:hint="default"/>
          <w:sz w:val="20"/>
          <w:szCs w:val="20"/>
          <w:rtl w:val="0"/>
          <w:lang w:val="en-US"/>
        </w:rPr>
        <w:t xml:space="preserve">— </w:t>
      </w:r>
      <w:r>
        <w:rPr>
          <w:rFonts w:ascii="Times New Roman" w:hAnsi="Times New Roman"/>
          <w:sz w:val="20"/>
          <w:szCs w:val="20"/>
          <w:rtl w:val="0"/>
          <w:lang w:val="en-US"/>
        </w:rPr>
        <w:t>often unnamed, often unaddressed. Millions of young adults across the country are dealing with stress, anxiety, and depression without really knowing what it is they</w:t>
      </w:r>
      <w:r>
        <w:rPr>
          <w:rFonts w:ascii="Times New Roman" w:hAnsi="Times New Roman" w:hint="default"/>
          <w:sz w:val="20"/>
          <w:szCs w:val="20"/>
          <w:rtl w:val="1"/>
        </w:rPr>
        <w:t>’</w:t>
      </w:r>
      <w:r>
        <w:rPr>
          <w:rFonts w:ascii="Times New Roman" w:hAnsi="Times New Roman"/>
          <w:sz w:val="20"/>
          <w:szCs w:val="20"/>
          <w:rtl w:val="0"/>
          <w:lang w:val="en-US"/>
        </w:rPr>
        <w:t>re experiencing, let alone where to get help. This study looks at how aware youth aged 18</w:t>
      </w:r>
      <w:r>
        <w:rPr>
          <w:rFonts w:ascii="Times New Roman" w:hAnsi="Times New Roman" w:hint="default"/>
          <w:sz w:val="20"/>
          <w:szCs w:val="20"/>
          <w:rtl w:val="0"/>
        </w:rPr>
        <w:t>–</w:t>
      </w:r>
      <w:r>
        <w:rPr>
          <w:rFonts w:ascii="Times New Roman" w:hAnsi="Times New Roman"/>
          <w:sz w:val="20"/>
          <w:szCs w:val="20"/>
          <w:rtl w:val="0"/>
          <w:lang w:val="en-US"/>
        </w:rPr>
        <w:t>35 actually are about mental health, what kind of psychological struggles they face, and whether AI-based tools could realistically offer some early support. A structured survey of 180 participants was used alongside secondary literature. The findings, though not entirely surprising, are still sobering: stigma, cost, and simple unawareness remain the biggest barriers to care. At the same time, a good number of respondents said they</w:t>
      </w:r>
      <w:r>
        <w:rPr>
          <w:rFonts w:ascii="Times New Roman" w:hAnsi="Times New Roman" w:hint="default"/>
          <w:sz w:val="20"/>
          <w:szCs w:val="20"/>
          <w:rtl w:val="1"/>
        </w:rPr>
        <w:t>’</w:t>
      </w:r>
      <w:r>
        <w:rPr>
          <w:rFonts w:ascii="Times New Roman" w:hAnsi="Times New Roman"/>
          <w:sz w:val="20"/>
          <w:szCs w:val="20"/>
          <w:rtl w:val="0"/>
          <w:lang w:val="en-US"/>
        </w:rPr>
        <w:t xml:space="preserve">d be open to digital tools </w:t>
      </w:r>
      <w:r>
        <w:rPr>
          <w:rFonts w:ascii="Times New Roman" w:hAnsi="Times New Roman" w:hint="default"/>
          <w:sz w:val="20"/>
          <w:szCs w:val="20"/>
          <w:rtl w:val="0"/>
          <w:lang w:val="en-US"/>
        </w:rPr>
        <w:t xml:space="preserve">— </w:t>
      </w:r>
      <w:r>
        <w:rPr>
          <w:rFonts w:ascii="Times New Roman" w:hAnsi="Times New Roman"/>
          <w:sz w:val="20"/>
          <w:szCs w:val="20"/>
          <w:rtl w:val="0"/>
          <w:lang w:val="en-US"/>
        </w:rPr>
        <w:t>often the same people who wouldn</w:t>
      </w:r>
      <w:r>
        <w:rPr>
          <w:rFonts w:ascii="Times New Roman" w:hAnsi="Times New Roman" w:hint="default"/>
          <w:sz w:val="20"/>
          <w:szCs w:val="20"/>
          <w:rtl w:val="1"/>
        </w:rPr>
        <w:t>’</w:t>
      </w:r>
      <w:r>
        <w:rPr>
          <w:rFonts w:ascii="Times New Roman" w:hAnsi="Times New Roman"/>
          <w:sz w:val="20"/>
          <w:szCs w:val="20"/>
          <w:rtl w:val="0"/>
          <w:lang w:val="en-US"/>
        </w:rPr>
        <w:t>t consider going to a therapist. The paper tries to make sense of what all this means going forward.</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b w:val="1"/>
          <w:bCs w:val="1"/>
          <w:sz w:val="20"/>
          <w:szCs w:val="20"/>
          <w:rtl w:val="0"/>
          <w:lang w:val="en-US"/>
        </w:rPr>
        <w:t xml:space="preserve">keywords: </w:t>
      </w:r>
      <w:r>
        <w:rPr>
          <w:rFonts w:ascii="Times New Roman" w:hAnsi="Times New Roman"/>
          <w:sz w:val="20"/>
          <w:szCs w:val="20"/>
          <w:rtl w:val="0"/>
          <w:lang w:val="en-US"/>
        </w:rPr>
        <w:t>Mental Health, Psychological Distress, AI Chatbot, Depression, Anxiety, Stigma, Awareness, Youth</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ectPr>
          <w:headerReference w:type="default" r:id="rId4"/>
          <w:footerReference w:type="default" r:id="rId5"/>
          <w:pgSz w:w="12240" w:h="15840" w:orient="portrait"/>
          <w:pgMar w:top="1008" w:right="1008" w:bottom="1008" w:left="1008" w:header="708" w:footer="708"/>
          <w:bidi w:val="0"/>
        </w:sectPr>
      </w:pPr>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b w:val="1"/>
          <w:bCs w:val="1"/>
          <w:sz w:val="20"/>
          <w:szCs w:val="20"/>
          <w:rtl w:val="0"/>
          <w:lang w:val="fr-FR"/>
        </w:rPr>
        <w:t>Introduction:</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sz w:val="20"/>
          <w:szCs w:val="20"/>
          <w:rtl w:val="0"/>
          <w:lang w:val="en-US"/>
        </w:rPr>
        <w:t>How we think about mental health today looks almost nothing like how it looked a few generations ago. For most of history, psychological suffering was treated as a moral failing, a spiritual problem, or simply evidence of weak character. The idea that a person</w:t>
      </w:r>
      <w:r>
        <w:rPr>
          <w:rFonts w:ascii="Times New Roman" w:hAnsi="Times New Roman" w:hint="default"/>
          <w:sz w:val="20"/>
          <w:szCs w:val="20"/>
          <w:rtl w:val="1"/>
        </w:rPr>
        <w:t>’</w:t>
      </w:r>
      <w:r>
        <w:rPr>
          <w:rFonts w:ascii="Times New Roman" w:hAnsi="Times New Roman"/>
          <w:sz w:val="20"/>
          <w:szCs w:val="20"/>
          <w:rtl w:val="0"/>
          <w:lang w:val="en-US"/>
        </w:rPr>
        <w:t>s mental state could be studied, diagnosed, or treated like a physical illness wasn</w:t>
      </w:r>
      <w:r>
        <w:rPr>
          <w:rFonts w:ascii="Times New Roman" w:hAnsi="Times New Roman" w:hint="default"/>
          <w:sz w:val="20"/>
          <w:szCs w:val="20"/>
          <w:rtl w:val="1"/>
        </w:rPr>
        <w:t>’</w:t>
      </w:r>
      <w:r>
        <w:rPr>
          <w:rFonts w:ascii="Times New Roman" w:hAnsi="Times New Roman"/>
          <w:sz w:val="20"/>
          <w:szCs w:val="20"/>
          <w:rtl w:val="0"/>
          <w:lang w:val="en-US"/>
        </w:rPr>
        <w:t>t really taken seriously until the late 1800s. Wilhelm Wundt</w:t>
      </w:r>
      <w:r>
        <w:rPr>
          <w:rFonts w:ascii="Times New Roman" w:hAnsi="Times New Roman" w:hint="default"/>
          <w:sz w:val="20"/>
          <w:szCs w:val="20"/>
          <w:rtl w:val="1"/>
        </w:rPr>
        <w:t>’</w:t>
      </w:r>
      <w:r>
        <w:rPr>
          <w:rFonts w:ascii="Times New Roman" w:hAnsi="Times New Roman"/>
          <w:sz w:val="20"/>
          <w:szCs w:val="20"/>
          <w:rtl w:val="0"/>
          <w:lang w:val="en-US"/>
        </w:rPr>
        <w:t>s psychology laboratory in 1879 was an early turning point, and Freud</w:t>
      </w:r>
      <w:r>
        <w:rPr>
          <w:rFonts w:ascii="Times New Roman" w:hAnsi="Times New Roman" w:hint="default"/>
          <w:sz w:val="20"/>
          <w:szCs w:val="20"/>
          <w:rtl w:val="1"/>
        </w:rPr>
        <w:t>’</w:t>
      </w:r>
      <w:r>
        <w:rPr>
          <w:rFonts w:ascii="Times New Roman" w:hAnsi="Times New Roman"/>
          <w:sz w:val="20"/>
          <w:szCs w:val="20"/>
          <w:rtl w:val="0"/>
          <w:lang w:val="en-US"/>
        </w:rPr>
        <w:t xml:space="preserve">s work on psychoanalysis helped move mental illness further into the realm of medicine </w:t>
      </w:r>
      <w:r>
        <w:rPr>
          <w:rFonts w:ascii="Times New Roman" w:hAnsi="Times New Roman" w:hint="default"/>
          <w:sz w:val="20"/>
          <w:szCs w:val="20"/>
          <w:rtl w:val="0"/>
          <w:lang w:val="en-US"/>
        </w:rPr>
        <w:t xml:space="preserve">— </w:t>
      </w:r>
      <w:r>
        <w:rPr>
          <w:rFonts w:ascii="Times New Roman" w:hAnsi="Times New Roman"/>
          <w:sz w:val="20"/>
          <w:szCs w:val="20"/>
          <w:rtl w:val="0"/>
          <w:lang w:val="en-US"/>
        </w:rPr>
        <w:t>still imperfectly, but meaningfully.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sz w:val="20"/>
          <w:szCs w:val="20"/>
          <w:rtl w:val="0"/>
          <w:lang w:val="en-US"/>
        </w:rPr>
        <w:t>The 20th century moved fast on this front. Antipsychotic medications appeared in the 1950s, giving clinicians something concrete to offer patients with severe conditions who had previously had no pharmaceutical options at all. The DSM was published in 1952 and gave practitioners a shared language for diagnosis, which mattered more than it might sound. Then, by the 1970s and 80s, Cognitive Behavioral Therapy had been tested enough to show real results across depression, anxiety, and a range of other conditions. The evidence base was building, even if public understanding lagged behind.</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sz w:val="20"/>
          <w:szCs w:val="20"/>
          <w:rtl w:val="0"/>
          <w:lang w:val="en-US"/>
        </w:rPr>
        <w:t>Despite all that progress, the gap between people who need help and people who actually get it has stayed frustratingly large. The WHO (2022) puts the global figure at over 970 million people living with a mental disorder, and estimates that less than half of them receive any treatment. In lower-income countries the picture is even worse. India</w:t>
      </w:r>
      <w:r>
        <w:rPr>
          <w:rFonts w:ascii="Times New Roman" w:hAnsi="Times New Roman" w:hint="default"/>
          <w:sz w:val="20"/>
          <w:szCs w:val="20"/>
          <w:rtl w:val="1"/>
        </w:rPr>
        <w:t>’</w:t>
      </w:r>
      <w:r>
        <w:rPr>
          <w:rFonts w:ascii="Times New Roman" w:hAnsi="Times New Roman"/>
          <w:sz w:val="20"/>
          <w:szCs w:val="20"/>
          <w:rtl w:val="0"/>
          <w:lang w:val="en-US"/>
        </w:rPr>
        <w:t xml:space="preserve">s National Mental Health Survey from 2017 found that around 150 million people needed active intervention </w:t>
      </w:r>
      <w:r>
        <w:rPr>
          <w:rFonts w:ascii="Times New Roman" w:hAnsi="Times New Roman" w:hint="default"/>
          <w:sz w:val="20"/>
          <w:szCs w:val="20"/>
          <w:rtl w:val="0"/>
          <w:lang w:val="en-US"/>
        </w:rPr>
        <w:t xml:space="preserve">— </w:t>
      </w:r>
      <w:r>
        <w:rPr>
          <w:rFonts w:ascii="Times New Roman" w:hAnsi="Times New Roman"/>
          <w:sz w:val="20"/>
          <w:szCs w:val="20"/>
          <w:rtl w:val="0"/>
          <w:lang w:val="en-US"/>
        </w:rPr>
        <w:t>but fewer than 30 million were getting any kind of support. That</w:t>
      </w:r>
      <w:r>
        <w:rPr>
          <w:rFonts w:ascii="Times New Roman" w:hAnsi="Times New Roman" w:hint="default"/>
          <w:sz w:val="20"/>
          <w:szCs w:val="20"/>
          <w:rtl w:val="1"/>
        </w:rPr>
        <w:t>’</w:t>
      </w:r>
      <w:r>
        <w:rPr>
          <w:rFonts w:ascii="Times New Roman" w:hAnsi="Times New Roman"/>
          <w:sz w:val="20"/>
          <w:szCs w:val="20"/>
          <w:rtl w:val="0"/>
          <w:lang w:val="en-US"/>
        </w:rPr>
        <w:t>s a staggering gap, and it hasn</w:t>
      </w:r>
      <w:r>
        <w:rPr>
          <w:rFonts w:ascii="Times New Roman" w:hAnsi="Times New Roman" w:hint="default"/>
          <w:sz w:val="20"/>
          <w:szCs w:val="20"/>
          <w:rtl w:val="1"/>
        </w:rPr>
        <w:t>’</w:t>
      </w:r>
      <w:r>
        <w:rPr>
          <w:rFonts w:ascii="Times New Roman" w:hAnsi="Times New Roman"/>
          <w:sz w:val="20"/>
          <w:szCs w:val="20"/>
          <w:rtl w:val="0"/>
          <w:lang w:val="en-US"/>
        </w:rPr>
        <w:t>t closed as quickly as one might hope.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sz w:val="20"/>
          <w:szCs w:val="20"/>
          <w:rtl w:val="0"/>
          <w:lang w:val="en-US"/>
        </w:rPr>
        <w:t>What</w:t>
      </w:r>
      <w:r>
        <w:rPr>
          <w:rFonts w:ascii="Times New Roman" w:hAnsi="Times New Roman" w:hint="default"/>
          <w:sz w:val="20"/>
          <w:szCs w:val="20"/>
          <w:rtl w:val="1"/>
        </w:rPr>
        <w:t>’</w:t>
      </w:r>
      <w:r>
        <w:rPr>
          <w:rFonts w:ascii="Times New Roman" w:hAnsi="Times New Roman"/>
          <w:sz w:val="20"/>
          <w:szCs w:val="20"/>
          <w:rtl w:val="0"/>
          <w:lang w:val="en-US"/>
        </w:rPr>
        <w:t>s different now is the possibility that technology might close some of that gap. AI chatbots, mood-tracking apps, and sentiment-based tools are increasingly being positioned as low-barrier options for people who can</w:t>
      </w:r>
      <w:r>
        <w:rPr>
          <w:rFonts w:ascii="Times New Roman" w:hAnsi="Times New Roman" w:hint="default"/>
          <w:sz w:val="20"/>
          <w:szCs w:val="20"/>
          <w:rtl w:val="1"/>
        </w:rPr>
        <w:t>’</w:t>
      </w:r>
      <w:r>
        <w:rPr>
          <w:rFonts w:ascii="Times New Roman" w:hAnsi="Times New Roman"/>
          <w:sz w:val="20"/>
          <w:szCs w:val="20"/>
          <w:rtl w:val="0"/>
          <w:lang w:val="en-US"/>
        </w:rPr>
        <w:t>t afford therapy or simply won</w:t>
      </w:r>
      <w:r>
        <w:rPr>
          <w:rFonts w:ascii="Times New Roman" w:hAnsi="Times New Roman" w:hint="default"/>
          <w:sz w:val="20"/>
          <w:szCs w:val="20"/>
          <w:rtl w:val="1"/>
        </w:rPr>
        <w:t>’</w:t>
      </w:r>
      <w:r>
        <w:rPr>
          <w:rFonts w:ascii="Times New Roman" w:hAnsi="Times New Roman"/>
          <w:sz w:val="20"/>
          <w:szCs w:val="20"/>
          <w:rtl w:val="0"/>
          <w:lang w:val="en-US"/>
        </w:rPr>
        <w:t>t seek it out. They</w:t>
      </w:r>
      <w:r>
        <w:rPr>
          <w:rFonts w:ascii="Times New Roman" w:hAnsi="Times New Roman" w:hint="default"/>
          <w:sz w:val="20"/>
          <w:szCs w:val="20"/>
          <w:rtl w:val="1"/>
        </w:rPr>
        <w:t>’</w:t>
      </w:r>
      <w:r>
        <w:rPr>
          <w:rFonts w:ascii="Times New Roman" w:hAnsi="Times New Roman"/>
          <w:sz w:val="20"/>
          <w:szCs w:val="20"/>
          <w:rtl w:val="0"/>
          <w:lang w:val="en-US"/>
        </w:rPr>
        <w:t xml:space="preserve">re not replacements for clinical care </w:t>
      </w:r>
      <w:r>
        <w:rPr>
          <w:rFonts w:ascii="Times New Roman" w:hAnsi="Times New Roman" w:hint="default"/>
          <w:sz w:val="20"/>
          <w:szCs w:val="20"/>
          <w:rtl w:val="0"/>
          <w:lang w:val="en-US"/>
        </w:rPr>
        <w:t xml:space="preserve">— </w:t>
      </w:r>
      <w:r>
        <w:rPr>
          <w:rFonts w:ascii="Times New Roman" w:hAnsi="Times New Roman"/>
          <w:sz w:val="20"/>
          <w:szCs w:val="20"/>
          <w:rtl w:val="0"/>
          <w:lang w:val="en-US"/>
        </w:rPr>
        <w:t xml:space="preserve">that needs to be said clearly </w:t>
      </w:r>
      <w:r>
        <w:rPr>
          <w:rFonts w:ascii="Times New Roman" w:hAnsi="Times New Roman" w:hint="default"/>
          <w:sz w:val="20"/>
          <w:szCs w:val="20"/>
          <w:rtl w:val="0"/>
          <w:lang w:val="en-US"/>
        </w:rPr>
        <w:t xml:space="preserve">— </w:t>
      </w:r>
      <w:r>
        <w:rPr>
          <w:rFonts w:ascii="Times New Roman" w:hAnsi="Times New Roman"/>
          <w:sz w:val="20"/>
          <w:szCs w:val="20"/>
          <w:rtl w:val="0"/>
          <w:lang w:val="en-US"/>
        </w:rPr>
        <w:t>but for people in the mild-to-moderate range who are currently getting nothing, they could make a real difference. This study looks at both the scale of the problem and whether these tools hold any genuine promise.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b w:val="1"/>
          <w:bCs w:val="1"/>
          <w:sz w:val="20"/>
          <w:szCs w:val="20"/>
          <w:rtl w:val="0"/>
          <w:lang w:val="en-US"/>
        </w:rPr>
        <w:t>Review of Literature: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sz w:val="20"/>
          <w:szCs w:val="20"/>
          <w:rtl w:val="0"/>
          <w:lang w:val="en-US"/>
        </w:rPr>
        <w:t xml:space="preserve">Academic work on mental health has grown substantially over the past couple of decades, drawing from public health, clinical psychology, and more recently </w:t>
      </w:r>
      <w:r>
        <w:rPr>
          <w:rFonts w:ascii="Times New Roman" w:hAnsi="Times New Roman" w:hint="default"/>
          <w:sz w:val="20"/>
          <w:szCs w:val="20"/>
          <w:rtl w:val="0"/>
          <w:lang w:val="en-US"/>
        </w:rPr>
        <w:t xml:space="preserve">— </w:t>
      </w:r>
      <w:r>
        <w:rPr>
          <w:rFonts w:ascii="Times New Roman" w:hAnsi="Times New Roman"/>
          <w:sz w:val="20"/>
          <w:szCs w:val="20"/>
          <w:rtl w:val="0"/>
          <w:lang w:val="en-US"/>
        </w:rPr>
        <w:t xml:space="preserve">and interestingly </w:t>
      </w:r>
      <w:r>
        <w:rPr>
          <w:rFonts w:ascii="Times New Roman" w:hAnsi="Times New Roman" w:hint="default"/>
          <w:sz w:val="20"/>
          <w:szCs w:val="20"/>
          <w:rtl w:val="0"/>
          <w:lang w:val="en-US"/>
        </w:rPr>
        <w:t xml:space="preserve">— </w:t>
      </w:r>
      <w:r>
        <w:rPr>
          <w:rFonts w:ascii="Times New Roman" w:hAnsi="Times New Roman"/>
          <w:sz w:val="20"/>
          <w:szCs w:val="20"/>
          <w:rtl w:val="0"/>
          <w:lang w:val="en-US"/>
        </w:rPr>
        <w:t>human-computer interaction. The range of disciplines now contributing to this conversation reflects how complex the problem actually is.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sz w:val="20"/>
          <w:szCs w:val="20"/>
          <w:rtl w:val="0"/>
          <w:lang w:val="en-US"/>
        </w:rPr>
        <w:t>Murray and Lopez</w:t>
      </w:r>
      <w:r>
        <w:rPr>
          <w:rFonts w:ascii="Times New Roman" w:hAnsi="Times New Roman" w:hint="default"/>
          <w:sz w:val="20"/>
          <w:szCs w:val="20"/>
          <w:rtl w:val="1"/>
        </w:rPr>
        <w:t>’</w:t>
      </w:r>
      <w:r>
        <w:rPr>
          <w:rFonts w:ascii="Times New Roman" w:hAnsi="Times New Roman"/>
          <w:sz w:val="20"/>
          <w:szCs w:val="20"/>
          <w:rtl w:val="0"/>
          <w:lang w:val="en-US"/>
        </w:rPr>
        <w:t xml:space="preserve">s (1996) Global Burden of Disease study was something of a wake-up call. Using large-scale data, they showed that depression ranked among the leading causes of disability globally </w:t>
      </w:r>
      <w:r>
        <w:rPr>
          <w:rFonts w:ascii="Times New Roman" w:hAnsi="Times New Roman" w:hint="default"/>
          <w:sz w:val="20"/>
          <w:szCs w:val="20"/>
          <w:rtl w:val="0"/>
          <w:lang w:val="en-US"/>
        </w:rPr>
        <w:t xml:space="preserve">— </w:t>
      </w:r>
      <w:r>
        <w:rPr>
          <w:rFonts w:ascii="Times New Roman" w:hAnsi="Times New Roman"/>
          <w:sz w:val="20"/>
          <w:szCs w:val="20"/>
          <w:rtl w:val="0"/>
          <w:lang w:val="en-US"/>
        </w:rPr>
        <w:t>something that hadn</w:t>
      </w:r>
      <w:r>
        <w:rPr>
          <w:rFonts w:ascii="Times New Roman" w:hAnsi="Times New Roman" w:hint="default"/>
          <w:sz w:val="20"/>
          <w:szCs w:val="20"/>
          <w:rtl w:val="1"/>
        </w:rPr>
        <w:t>’</w:t>
      </w:r>
      <w:r>
        <w:rPr>
          <w:rFonts w:ascii="Times New Roman" w:hAnsi="Times New Roman"/>
          <w:sz w:val="20"/>
          <w:szCs w:val="20"/>
          <w:rtl w:val="0"/>
          <w:lang w:val="en-US"/>
        </w:rPr>
        <w:t>t really been established at that scale before. That finding forced mental health into global public health conversations in a way that prior advocacy alone hadn</w:t>
      </w:r>
      <w:r>
        <w:rPr>
          <w:rFonts w:ascii="Times New Roman" w:hAnsi="Times New Roman" w:hint="default"/>
          <w:sz w:val="20"/>
          <w:szCs w:val="20"/>
          <w:rtl w:val="1"/>
        </w:rPr>
        <w:t>’</w:t>
      </w:r>
      <w:r>
        <w:rPr>
          <w:rFonts w:ascii="Times New Roman" w:hAnsi="Times New Roman"/>
          <w:sz w:val="20"/>
          <w:szCs w:val="20"/>
          <w:rtl w:val="0"/>
          <w:lang w:val="en-US"/>
        </w:rPr>
        <w:t>t managed. Later editions of the same research kept reinforcing the same point.</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sz w:val="20"/>
          <w:szCs w:val="20"/>
          <w:rtl w:val="0"/>
          <w:lang w:val="en-US"/>
        </w:rPr>
        <w:t>For India specifically, Gururaj et al. (2016) conducted one of the most thorough national mental health surveys the country has seen. What stood out wasn</w:t>
      </w:r>
      <w:r>
        <w:rPr>
          <w:rFonts w:ascii="Times New Roman" w:hAnsi="Times New Roman" w:hint="default"/>
          <w:sz w:val="20"/>
          <w:szCs w:val="20"/>
          <w:rtl w:val="1"/>
        </w:rPr>
        <w:t>’</w:t>
      </w:r>
      <w:r>
        <w:rPr>
          <w:rFonts w:ascii="Times New Roman" w:hAnsi="Times New Roman"/>
          <w:sz w:val="20"/>
          <w:szCs w:val="20"/>
          <w:rtl w:val="0"/>
          <w:lang w:val="en-US"/>
        </w:rPr>
        <w:t xml:space="preserve">t just the overall numbers, but the regional disparities </w:t>
      </w:r>
      <w:r>
        <w:rPr>
          <w:rFonts w:ascii="Times New Roman" w:hAnsi="Times New Roman" w:hint="default"/>
          <w:sz w:val="20"/>
          <w:szCs w:val="20"/>
          <w:rtl w:val="0"/>
          <w:lang w:val="en-US"/>
        </w:rPr>
        <w:t xml:space="preserve">— </w:t>
      </w:r>
      <w:r>
        <w:rPr>
          <w:rFonts w:ascii="Times New Roman" w:hAnsi="Times New Roman"/>
          <w:sz w:val="20"/>
          <w:szCs w:val="20"/>
          <w:rtl w:val="0"/>
          <w:lang w:val="en-US"/>
        </w:rPr>
        <w:t>rural populations, women, and lower-income groups showed higher levels of distress but were much less likely to receive any support. The inequality isn</w:t>
      </w:r>
      <w:r>
        <w:rPr>
          <w:rFonts w:ascii="Times New Roman" w:hAnsi="Times New Roman" w:hint="default"/>
          <w:sz w:val="20"/>
          <w:szCs w:val="20"/>
          <w:rtl w:val="1"/>
        </w:rPr>
        <w:t>’</w:t>
      </w:r>
      <w:r>
        <w:rPr>
          <w:rFonts w:ascii="Times New Roman" w:hAnsi="Times New Roman"/>
          <w:sz w:val="20"/>
          <w:szCs w:val="20"/>
          <w:rtl w:val="0"/>
          <w:lang w:val="en-US"/>
        </w:rPr>
        <w:t>t incidental; it</w:t>
      </w:r>
      <w:r>
        <w:rPr>
          <w:rFonts w:ascii="Times New Roman" w:hAnsi="Times New Roman" w:hint="default"/>
          <w:sz w:val="20"/>
          <w:szCs w:val="20"/>
          <w:rtl w:val="1"/>
        </w:rPr>
        <w:t>’</w:t>
      </w:r>
      <w:r>
        <w:rPr>
          <w:rFonts w:ascii="Times New Roman" w:hAnsi="Times New Roman"/>
          <w:sz w:val="20"/>
          <w:szCs w:val="20"/>
          <w:rtl w:val="0"/>
          <w:lang w:val="en-US"/>
        </w:rPr>
        <w:t>s built into how the healthcare system is structured.</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sz w:val="20"/>
          <w:szCs w:val="20"/>
          <w:rtl w:val="0"/>
          <w:lang w:val="en-US"/>
        </w:rPr>
        <w:t>Corrigan (2004) did important work on stigma that</w:t>
      </w:r>
      <w:r>
        <w:rPr>
          <w:rFonts w:ascii="Times New Roman" w:hAnsi="Times New Roman" w:hint="default"/>
          <w:sz w:val="20"/>
          <w:szCs w:val="20"/>
          <w:rtl w:val="1"/>
        </w:rPr>
        <w:t>’</w:t>
      </w:r>
      <w:r>
        <w:rPr>
          <w:rFonts w:ascii="Times New Roman" w:hAnsi="Times New Roman"/>
          <w:sz w:val="20"/>
          <w:szCs w:val="20"/>
          <w:rtl w:val="0"/>
          <w:lang w:val="en-US"/>
        </w:rPr>
        <w:t xml:space="preserve">s still widely cited. He drew a distinction between public stigma </w:t>
      </w:r>
      <w:r>
        <w:rPr>
          <w:rFonts w:ascii="Times New Roman" w:hAnsi="Times New Roman" w:hint="default"/>
          <w:sz w:val="20"/>
          <w:szCs w:val="20"/>
          <w:rtl w:val="0"/>
          <w:lang w:val="en-US"/>
        </w:rPr>
        <w:t xml:space="preserve">— </w:t>
      </w:r>
      <w:r>
        <w:rPr>
          <w:rFonts w:ascii="Times New Roman" w:hAnsi="Times New Roman"/>
          <w:sz w:val="20"/>
          <w:szCs w:val="20"/>
          <w:rtl w:val="0"/>
          <w:lang w:val="en-US"/>
        </w:rPr>
        <w:t xml:space="preserve">the stereotypes and discrimination that come from outside </w:t>
      </w:r>
      <w:r>
        <w:rPr>
          <w:rFonts w:ascii="Times New Roman" w:hAnsi="Times New Roman" w:hint="default"/>
          <w:sz w:val="20"/>
          <w:szCs w:val="20"/>
          <w:rtl w:val="0"/>
          <w:lang w:val="en-US"/>
        </w:rPr>
        <w:t xml:space="preserve">— </w:t>
      </w:r>
      <w:r>
        <w:rPr>
          <w:rFonts w:ascii="Times New Roman" w:hAnsi="Times New Roman"/>
          <w:sz w:val="20"/>
          <w:szCs w:val="20"/>
          <w:rtl w:val="0"/>
          <w:lang w:val="en-US"/>
        </w:rPr>
        <w:t>and self-stigma, where a person turns those judgments inward and begins to believe they</w:t>
      </w:r>
      <w:r>
        <w:rPr>
          <w:rFonts w:ascii="Times New Roman" w:hAnsi="Times New Roman" w:hint="default"/>
          <w:sz w:val="20"/>
          <w:szCs w:val="20"/>
          <w:rtl w:val="1"/>
        </w:rPr>
        <w:t>’</w:t>
      </w:r>
      <w:r>
        <w:rPr>
          <w:rFonts w:ascii="Times New Roman" w:hAnsi="Times New Roman"/>
          <w:sz w:val="20"/>
          <w:szCs w:val="20"/>
          <w:rtl w:val="0"/>
          <w:lang w:val="en-US"/>
        </w:rPr>
        <w:t>re less deserving of help. In practice, what this means is that people put up with a lot of psychological pain rather than risk being labeled. They wait. Often too long.</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sz w:val="20"/>
          <w:szCs w:val="20"/>
          <w:rtl w:val="0"/>
          <w:lang w:val="en-US"/>
        </w:rPr>
        <w:t>On the technology side, Linardon et al. (2020) pulled together a meta-analysis of smartphone-based interventions and found moderate support for their effectiveness with depression and anxiety. The catch, as with most digital health tools, was that engagement tended to drop off quickly. People would download an app, use it for a bit, and move on. Abd-Alrazaq et al. (2020) looked specifically at chatbots and found users generally reported feeling better, though many of the underlying studies were small and didn</w:t>
      </w:r>
      <w:r>
        <w:rPr>
          <w:rFonts w:ascii="Times New Roman" w:hAnsi="Times New Roman" w:hint="default"/>
          <w:sz w:val="20"/>
          <w:szCs w:val="20"/>
          <w:rtl w:val="1"/>
        </w:rPr>
        <w:t>’</w:t>
      </w:r>
      <w:r>
        <w:rPr>
          <w:rFonts w:ascii="Times New Roman" w:hAnsi="Times New Roman"/>
          <w:sz w:val="20"/>
          <w:szCs w:val="20"/>
          <w:rtl w:val="0"/>
          <w:lang w:val="en-US"/>
        </w:rPr>
        <w:t>t follow participants for long.</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sz w:val="20"/>
          <w:szCs w:val="20"/>
          <w:rtl w:val="0"/>
          <w:lang w:val="en-US"/>
        </w:rPr>
        <w:t xml:space="preserve">COVID-19 changed things in ways researchers are still working through. Rajkumar (2020) documented sharp increases in anxiety, depression, and post-traumatic stress across multiple countries during the early pandemic period. What also happened, almost by necessity, was a rapid uptake of digital mental health tools </w:t>
      </w:r>
      <w:r>
        <w:rPr>
          <w:rFonts w:ascii="Times New Roman" w:hAnsi="Times New Roman" w:hint="default"/>
          <w:sz w:val="20"/>
          <w:szCs w:val="20"/>
          <w:rtl w:val="0"/>
          <w:lang w:val="en-US"/>
        </w:rPr>
        <w:t xml:space="preserve">— </w:t>
      </w:r>
      <w:r>
        <w:rPr>
          <w:rFonts w:ascii="Times New Roman" w:hAnsi="Times New Roman"/>
          <w:sz w:val="20"/>
          <w:szCs w:val="20"/>
          <w:rtl w:val="0"/>
          <w:lang w:val="en-US"/>
        </w:rPr>
        <w:t>people had fewer options and turned to what was available. That created a lot of real-world usage data that the field is still making sense of.</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sz w:val="20"/>
          <w:szCs w:val="20"/>
          <w:rtl w:val="0"/>
          <w:lang w:val="en-US"/>
        </w:rPr>
        <w:t xml:space="preserve">Taken together, the literature traces a fairly consistent arc: mental illness is widespread, structural and social barriers keep most people from getting help, and digital tools offer a partial </w:t>
      </w:r>
      <w:r>
        <w:rPr>
          <w:rFonts w:ascii="Times New Roman" w:hAnsi="Times New Roman" w:hint="default"/>
          <w:sz w:val="20"/>
          <w:szCs w:val="20"/>
          <w:rtl w:val="0"/>
          <w:lang w:val="en-US"/>
        </w:rPr>
        <w:t xml:space="preserve">— </w:t>
      </w:r>
      <w:r>
        <w:rPr>
          <w:rFonts w:ascii="Times New Roman" w:hAnsi="Times New Roman"/>
          <w:sz w:val="20"/>
          <w:szCs w:val="20"/>
          <w:rtl w:val="0"/>
          <w:lang w:val="en-US"/>
        </w:rPr>
        <w:t xml:space="preserve">not complete </w:t>
      </w:r>
      <w:r>
        <w:rPr>
          <w:rFonts w:ascii="Times New Roman" w:hAnsi="Times New Roman" w:hint="default"/>
          <w:sz w:val="20"/>
          <w:szCs w:val="20"/>
          <w:rtl w:val="0"/>
          <w:lang w:val="en-US"/>
        </w:rPr>
        <w:t xml:space="preserve">— </w:t>
      </w:r>
      <w:r>
        <w:rPr>
          <w:rFonts w:ascii="Times New Roman" w:hAnsi="Times New Roman"/>
          <w:sz w:val="20"/>
          <w:szCs w:val="20"/>
          <w:rtl w:val="0"/>
          <w:lang w:val="en-US"/>
        </w:rPr>
        <w:t>response to that problem. The gap between knowing something is wrong and actually doing something about it remains the hardest part to close.</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b w:val="1"/>
          <w:bCs w:val="1"/>
          <w:sz w:val="20"/>
          <w:szCs w:val="20"/>
          <w:rtl w:val="0"/>
          <w:lang w:val="en-US"/>
        </w:rPr>
        <w:t>Objectives of the Study:</w:t>
      </w:r>
    </w:p>
    <w:p>
      <w:pPr>
        <w:pStyle w:val="List Paragraph"/>
        <w:numPr>
          <w:ilvl w:val="0"/>
          <w:numId w:val="2"/>
        </w:numPr>
        <w:spacing w:after="60"/>
        <w:jc w:val="both"/>
        <w:rPr>
          <w:lang w:val="en-US"/>
        </w:rPr>
      </w:pPr>
      <w:r>
        <w:rPr>
          <w:rtl w:val="0"/>
          <w:lang w:val="en-US"/>
        </w:rPr>
        <w:t>To assess how aware young adults (18</w:t>
      </w:r>
      <w:r>
        <w:rPr>
          <w:rtl w:val="0"/>
        </w:rPr>
        <w:t>–</w:t>
      </w:r>
      <w:r>
        <w:rPr>
          <w:rtl w:val="0"/>
          <w:lang w:val="en-US"/>
        </w:rPr>
        <w:t>35) actually are about mental health, and where the gaps or misconceptions tend to cluster.</w:t>
      </w:r>
    </w:p>
    <w:p>
      <w:pPr>
        <w:pStyle w:val="List Paragraph"/>
        <w:numPr>
          <w:ilvl w:val="0"/>
          <w:numId w:val="2"/>
        </w:numPr>
        <w:spacing w:after="60"/>
        <w:jc w:val="both"/>
        <w:rPr>
          <w:lang w:val="en-US"/>
        </w:rPr>
      </w:pPr>
      <w:r>
        <w:rPr>
          <w:rtl w:val="0"/>
          <w:lang w:val="en-US"/>
        </w:rPr>
        <w:t>To look at what kinds of psychological stressors come up most frequently and how they affect everyday life for this age group.</w:t>
      </w:r>
    </w:p>
    <w:p>
      <w:pPr>
        <w:pStyle w:val="List Paragraph"/>
        <w:numPr>
          <w:ilvl w:val="0"/>
          <w:numId w:val="2"/>
        </w:numPr>
        <w:spacing w:after="60"/>
        <w:jc w:val="both"/>
        <w:rPr>
          <w:lang w:val="en-US"/>
        </w:rPr>
      </w:pPr>
      <w:r>
        <w:rPr>
          <w:rtl w:val="0"/>
          <w:lang w:val="en-US"/>
        </w:rPr>
        <w:t xml:space="preserve">To understand how open people are to trying AI-based mental health tools </w:t>
      </w:r>
      <w:r>
        <w:rPr>
          <w:rtl w:val="0"/>
          <w:lang w:val="en-US"/>
        </w:rPr>
        <w:t xml:space="preserve">— </w:t>
      </w:r>
      <w:r>
        <w:rPr>
          <w:rtl w:val="0"/>
          <w:lang w:val="en-US"/>
        </w:rPr>
        <w:t>particularly those who haven</w:t>
      </w:r>
      <w:r>
        <w:rPr>
          <w:rtl w:val="1"/>
        </w:rPr>
        <w:t>’</w:t>
      </w:r>
      <w:r>
        <w:rPr>
          <w:rtl w:val="0"/>
          <w:lang w:val="en-US"/>
        </w:rPr>
        <w:t>t sought professional help.</w:t>
      </w:r>
    </w:p>
    <w:p>
      <w:pPr>
        <w:pStyle w:val="List Paragraph"/>
        <w:numPr>
          <w:ilvl w:val="0"/>
          <w:numId w:val="2"/>
        </w:numPr>
        <w:spacing w:after="60"/>
        <w:jc w:val="both"/>
        <w:rPr>
          <w:lang w:val="en-US"/>
        </w:rPr>
      </w:pPr>
      <w:r>
        <w:rPr>
          <w:rtl w:val="0"/>
          <w:lang w:val="en-US"/>
        </w:rPr>
        <w:t xml:space="preserve">To identify the main barriers </w:t>
      </w:r>
      <w:r>
        <w:rPr>
          <w:rtl w:val="0"/>
          <w:lang w:val="en-US"/>
        </w:rPr>
        <w:t xml:space="preserve">— </w:t>
      </w:r>
      <w:r>
        <w:rPr>
          <w:rtl w:val="0"/>
          <w:lang w:val="en-US"/>
        </w:rPr>
        <w:t xml:space="preserve">social, cultural, and structural </w:t>
      </w:r>
      <w:r>
        <w:rPr>
          <w:rtl w:val="0"/>
          <w:lang w:val="en-US"/>
        </w:rPr>
        <w:t xml:space="preserve">— </w:t>
      </w:r>
      <w:r>
        <w:rPr>
          <w:rtl w:val="0"/>
          <w:lang w:val="en-US"/>
        </w:rPr>
        <w:t>that stop people from seeking care in the first place.</w:t>
      </w:r>
    </w:p>
    <w:p>
      <w:pPr>
        <w:pStyle w:val="List Paragraph"/>
        <w:spacing w:after="60"/>
        <w:jc w:val="both"/>
      </w:pPr>
    </w:p>
    <w:p>
      <w:pPr>
        <w:pStyle w:val="List Paragraph"/>
        <w:spacing w:after="60"/>
        <w:jc w:val="both"/>
      </w:pPr>
      <w:r>
        <w:rPr>
          <w:b w:val="1"/>
          <w:bCs w:val="1"/>
          <w:rtl w:val="0"/>
          <w:lang w:val="en-US"/>
        </w:rPr>
        <w:t>Research Methodology:</w:t>
      </w:r>
    </w:p>
    <w:p>
      <w:pPr>
        <w:pStyle w:val="List Paragraph"/>
        <w:spacing w:after="60"/>
        <w:jc w:val="both"/>
      </w:pPr>
      <w:r>
        <w:rPr>
          <w:rtl w:val="0"/>
          <w:lang w:val="en-US"/>
        </w:rPr>
        <w:t xml:space="preserve">A mixed-methods approach was used here </w:t>
      </w:r>
      <w:r>
        <w:rPr>
          <w:rtl w:val="0"/>
          <w:lang w:val="en-US"/>
        </w:rPr>
        <w:t xml:space="preserve">— </w:t>
      </w:r>
      <w:r>
        <w:rPr>
          <w:rtl w:val="0"/>
          <w:lang w:val="en-US"/>
        </w:rPr>
        <w:t>quantitative survey data alongside qualitative responses and secondary literature. Mental health is one of those areas where numbers alone don</w:t>
      </w:r>
      <w:r>
        <w:rPr>
          <w:rtl w:val="1"/>
        </w:rPr>
        <w:t>’</w:t>
      </w:r>
      <w:r>
        <w:rPr>
          <w:rtl w:val="0"/>
          <w:lang w:val="en-US"/>
        </w:rPr>
        <w:t>t capture the full picture, so both components felt necessary.</w:t>
      </w:r>
    </w:p>
    <w:p>
      <w:pPr>
        <w:pStyle w:val="List Paragraph"/>
        <w:spacing w:after="60"/>
        <w:jc w:val="both"/>
      </w:pPr>
      <w:r>
        <w:rPr>
          <w:b w:val="1"/>
          <w:bCs w:val="1"/>
          <w:rtl w:val="0"/>
          <w:lang w:val="en-US"/>
        </w:rPr>
        <w:t xml:space="preserve">1. Research Design: </w:t>
      </w:r>
      <w:r>
        <w:rPr>
          <w:rtl w:val="0"/>
          <w:lang w:val="en-US"/>
        </w:rPr>
        <w:t xml:space="preserve">The design is both descriptive and exploratory. The descriptive part maps what awareness and distress actually look like among the people surveyed. The exploratory part asks what role, realistically, AI tools might play </w:t>
      </w:r>
      <w:r>
        <w:rPr>
          <w:rtl w:val="0"/>
          <w:lang w:val="en-US"/>
        </w:rPr>
        <w:t xml:space="preserve">— </w:t>
      </w:r>
      <w:r>
        <w:rPr>
          <w:rtl w:val="0"/>
          <w:lang w:val="en-US"/>
        </w:rPr>
        <w:t>drawing on the survey data and on published work about tools already in use.</w:t>
      </w:r>
    </w:p>
    <w:p>
      <w:pPr>
        <w:pStyle w:val="List Paragraph"/>
        <w:spacing w:after="60"/>
        <w:jc w:val="both"/>
      </w:pPr>
      <w:r>
        <w:rPr>
          <w:b w:val="1"/>
          <w:bCs w:val="1"/>
          <w:rtl w:val="0"/>
          <w:lang w:val="en-US"/>
        </w:rPr>
        <w:t xml:space="preserve">2. Data Collection: </w:t>
      </w:r>
      <w:r>
        <w:rPr>
          <w:rtl w:val="0"/>
          <w:lang w:val="en-US"/>
        </w:rPr>
        <w:t>A structured questionnaire went out to 180 participants across university campuses and urban residential areas in Delhi NCR. Three sources informed the study: the primary survey responses, secondary data from WHO, NIMHANS, and published journals, and some informal input from two practicing counselors who helped shape the questionnaire. The counselor input was useful for grounding the questions in what actually comes up in clinical work.</w:t>
      </w:r>
    </w:p>
    <w:p>
      <w:pPr>
        <w:pStyle w:val="List Paragraph"/>
        <w:spacing w:after="60"/>
        <w:jc w:val="both"/>
      </w:pPr>
      <w:r>
        <w:rPr>
          <w:b w:val="1"/>
          <w:bCs w:val="1"/>
          <w:rtl w:val="0"/>
          <w:lang w:val="en-US"/>
        </w:rPr>
        <w:t xml:space="preserve">3. Tools and Techniques: </w:t>
      </w:r>
      <w:r>
        <w:rPr>
          <w:rtl w:val="0"/>
          <w:lang w:val="en-US"/>
        </w:rPr>
        <w:t xml:space="preserve">Adapted versions of the PHQ-9 and GAD-7 were used for screening depressive and anxiety symptoms respectively. A basic lexicon-based sentiment tool was run on 50 anonymized open-ended responses to get a sense of the emotional tone across them. Quantitative items were analyzed using descriptive statistics </w:t>
      </w:r>
      <w:r>
        <w:rPr>
          <w:rtl w:val="0"/>
          <w:lang w:val="en-US"/>
        </w:rPr>
        <w:t xml:space="preserve">— </w:t>
      </w:r>
      <w:r>
        <w:rPr>
          <w:rtl w:val="0"/>
          <w:lang w:val="en-US"/>
        </w:rPr>
        <w:t xml:space="preserve">frequencies, percentages, means </w:t>
      </w:r>
      <w:r>
        <w:rPr>
          <w:rtl w:val="0"/>
          <w:lang w:val="en-US"/>
        </w:rPr>
        <w:t xml:space="preserve">— </w:t>
      </w:r>
      <w:r>
        <w:rPr>
          <w:rtl w:val="0"/>
          <w:lang w:val="en-US"/>
        </w:rPr>
        <w:t>and open-ended responses were coded thematically.</w:t>
      </w:r>
    </w:p>
    <w:p>
      <w:pPr>
        <w:pStyle w:val="List Paragraph"/>
        <w:spacing w:after="60"/>
        <w:jc w:val="both"/>
      </w:pPr>
      <w:r>
        <w:rPr>
          <w:b w:val="1"/>
          <w:bCs w:val="1"/>
          <w:rtl w:val="0"/>
          <w:lang w:val="en-US"/>
        </w:rPr>
        <w:t xml:space="preserve">4. Implementation Steps: </w:t>
      </w:r>
      <w:r>
        <w:rPr>
          <w:rtl w:val="0"/>
          <w:lang w:val="en-US"/>
        </w:rPr>
        <w:t>Before the main survey went out, it was piloted with 15 participants and revised based on what came back. The full survey ran over three weeks and yielded 180 usable responses. PHQ-9 and GAD-7 scores were categorized by severity, sentiment analysis was run on the qualitative data as a proof-of-concept, and the findings were then compared against national and international reference datasets.</w:t>
      </w:r>
    </w:p>
    <w:p>
      <w:pPr>
        <w:pStyle w:val="List Paragraph"/>
        <w:spacing w:after="60"/>
        <w:jc w:val="both"/>
      </w:pPr>
      <w:r>
        <w:rPr>
          <w:b w:val="1"/>
          <w:bCs w:val="1"/>
          <w:rtl w:val="0"/>
          <w:lang w:val="en-US"/>
        </w:rPr>
        <w:t xml:space="preserve">5. Evaluation Metrics: </w:t>
      </w:r>
      <w:r>
        <w:rPr>
          <w:rtl w:val="0"/>
          <w:lang w:val="en-US"/>
        </w:rPr>
        <w:t>Outcomes were tracked across four areas: how well participants could identify mental health conditions (awareness score); how many exceeded clinical thresholds on the PHQ-9 or GAD-7 (distress prevalence); whether and why they had sought help before (help-seeking behavior); and how open they were to digital tools, rated on a 5-point scale.</w:t>
      </w:r>
    </w:p>
    <w:p>
      <w:pPr>
        <w:pStyle w:val="List Paragraph"/>
        <w:spacing w:after="60"/>
        <w:jc w:val="both"/>
      </w:pPr>
      <w:r>
        <w:rPr>
          <w:b w:val="1"/>
          <w:bCs w:val="1"/>
          <w:rtl w:val="0"/>
          <w:lang w:val="en-US"/>
        </w:rPr>
        <w:t xml:space="preserve">6. Analysis: </w:t>
      </w:r>
      <w:r>
        <w:rPr>
          <w:rtl w:val="0"/>
          <w:lang w:val="en-US"/>
        </w:rPr>
        <w:t>MATLAB and Excel handled the statistical computation and visualizations. Thematic coding was applied to the qualitative responses. Observed patterns were then benchmarked against what the existing literature would lead one to expect.</w:t>
      </w:r>
    </w:p>
    <w:p>
      <w:pPr>
        <w:pStyle w:val="List Paragraph"/>
        <w:spacing w:after="60"/>
        <w:jc w:val="both"/>
      </w:pPr>
    </w:p>
    <w:p>
      <w:pPr>
        <w:pStyle w:val="List Paragraph"/>
        <w:spacing w:after="60"/>
        <w:jc w:val="both"/>
      </w:pPr>
      <w:r>
        <w:rPr>
          <w:b w:val="1"/>
          <w:bCs w:val="1"/>
          <w:rtl w:val="0"/>
          <w:lang w:val="en-US"/>
        </w:rPr>
        <w:t>Data Analysis and Findings:</w:t>
      </w:r>
    </w:p>
    <w:p>
      <w:pPr>
        <w:pStyle w:val="List Paragraph"/>
        <w:spacing w:after="60"/>
        <w:jc w:val="both"/>
      </w:pPr>
      <w:r>
        <w:rPr>
          <w:rtl w:val="0"/>
          <w:lang w:val="en-US"/>
        </w:rPr>
        <w:t>The survey produced responses across a fairly wide range on most of the key indicators. The main findings are laid out below.</w:t>
      </w:r>
    </w:p>
    <w:p>
      <w:pPr>
        <w:pStyle w:val="List Paragraph"/>
        <w:spacing w:after="60"/>
        <w:jc w:val="both"/>
      </w:pPr>
    </w:p>
    <w:p>
      <w:pPr>
        <w:pStyle w:val="List Paragraph"/>
        <w:spacing w:after="60"/>
        <w:jc w:val="both"/>
      </w:pPr>
      <w:r>
        <w:rPr>
          <w:b w:val="1"/>
          <w:bCs w:val="1"/>
          <w:sz w:val="18"/>
          <w:szCs w:val="18"/>
          <w:rtl w:val="0"/>
          <w:lang w:val="en-US"/>
        </w:rPr>
        <w:t>Table 1: Mental Health Awareness and Distress Screening (n = 180)</w:t>
      </w:r>
    </w:p>
    <w:tbl>
      <w:tblPr>
        <w:tblW w:w="493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60"/>
        <w:gridCol w:w="1340"/>
        <w:gridCol w:w="1132"/>
      </w:tblGrid>
      <w:tr>
        <w:tblPrEx>
          <w:shd w:val="clear" w:color="auto" w:fill="ced7e7"/>
        </w:tblPrEx>
        <w:trPr>
          <w:trHeight w:val="433" w:hRule="atLeast"/>
        </w:trPr>
        <w:tc>
          <w:tcPr>
            <w:tcW w:type="dxa" w:w="246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8"/>
                <w:szCs w:val="18"/>
                <w:u w:color="000000"/>
                <w:shd w:val="nil" w:color="auto" w:fill="auto"/>
                <w:rtl w:val="0"/>
                <w:lang w:val="en-US"/>
              </w:rPr>
              <w:t>Mental Health Indicator</w:t>
            </w:r>
          </w:p>
        </w:tc>
        <w:tc>
          <w:tcPr>
            <w:tcW w:type="dxa" w:w="134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d6e4f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18"/>
                <w:szCs w:val="18"/>
                <w:u w:color="000000"/>
                <w:shd w:val="nil" w:color="auto" w:fill="auto"/>
                <w:rtl w:val="0"/>
                <w:lang w:val="en-US"/>
              </w:rPr>
              <w:t>Respondents (%)</w:t>
            </w:r>
          </w:p>
        </w:tc>
        <w:tc>
          <w:tcPr>
            <w:tcW w:type="dxa" w:w="1132"/>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d6e4f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18"/>
                <w:szCs w:val="18"/>
                <w:u w:color="000000"/>
                <w:shd w:val="nil" w:color="auto" w:fill="auto"/>
                <w:rtl w:val="0"/>
                <w:lang w:val="de-DE"/>
              </w:rPr>
              <w:t>Moderate</w:t>
            </w:r>
            <w:r>
              <w:rPr>
                <w:rFonts w:ascii="Times New Roman" w:hAnsi="Times New Roman" w:hint="default"/>
                <w:b w:val="1"/>
                <w:bCs w:val="1"/>
                <w:sz w:val="18"/>
                <w:szCs w:val="18"/>
                <w:u w:color="000000"/>
                <w:shd w:val="nil" w:color="auto" w:fill="auto"/>
                <w:rtl w:val="0"/>
              </w:rPr>
              <w:t>–</w:t>
            </w:r>
            <w:r>
              <w:rPr>
                <w:rFonts w:ascii="Times New Roman" w:hAnsi="Times New Roman"/>
                <w:b w:val="1"/>
                <w:bCs w:val="1"/>
                <w:sz w:val="18"/>
                <w:szCs w:val="18"/>
                <w:u w:color="000000"/>
                <w:shd w:val="nil" w:color="auto" w:fill="auto"/>
                <w:rtl w:val="0"/>
                <w:lang w:val="it-IT"/>
              </w:rPr>
              <w:t>Severe (%)</w:t>
            </w:r>
          </w:p>
        </w:tc>
      </w:tr>
      <w:tr>
        <w:tblPrEx>
          <w:shd w:val="clear" w:color="auto" w:fill="ced7e7"/>
        </w:tblPrEx>
        <w:trPr>
          <w:trHeight w:val="195" w:hRule="atLeast"/>
        </w:trPr>
        <w:tc>
          <w:tcPr>
            <w:tcW w:type="dxa" w:w="246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Clearly aware of depression</w:t>
            </w:r>
          </w:p>
        </w:tc>
        <w:tc>
          <w:tcPr>
            <w:tcW w:type="dxa" w:w="134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62.2%</w:t>
            </w:r>
          </w:p>
        </w:tc>
        <w:tc>
          <w:tcPr>
            <w:tcW w:type="dxa" w:w="1132"/>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hint="default"/>
                <w:sz w:val="18"/>
                <w:szCs w:val="18"/>
                <w:u w:color="000000"/>
                <w:shd w:val="nil" w:color="auto" w:fill="auto"/>
                <w:rtl w:val="0"/>
                <w:lang w:val="en-US"/>
              </w:rPr>
              <w:t>—</w:t>
            </w:r>
          </w:p>
        </w:tc>
      </w:tr>
      <w:tr>
        <w:tblPrEx>
          <w:shd w:val="clear" w:color="auto" w:fill="ced7e7"/>
        </w:tblPrEx>
        <w:trPr>
          <w:trHeight w:val="195" w:hRule="atLeast"/>
        </w:trPr>
        <w:tc>
          <w:tcPr>
            <w:tcW w:type="dxa" w:w="246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de-DE"/>
              </w:rPr>
              <w:t>PHQ-9: Mild symptoms (5</w:t>
            </w:r>
            <w:r>
              <w:rPr>
                <w:rFonts w:ascii="Times New Roman" w:hAnsi="Times New Roman" w:hint="default"/>
                <w:sz w:val="18"/>
                <w:szCs w:val="18"/>
                <w:u w:color="000000"/>
                <w:shd w:val="nil" w:color="auto" w:fill="auto"/>
                <w:rtl w:val="0"/>
              </w:rPr>
              <w:t>–</w:t>
            </w:r>
            <w:r>
              <w:rPr>
                <w:rFonts w:ascii="Times New Roman" w:hAnsi="Times New Roman"/>
                <w:sz w:val="18"/>
                <w:szCs w:val="18"/>
                <w:u w:color="000000"/>
                <w:shd w:val="nil" w:color="auto" w:fill="auto"/>
                <w:rtl w:val="0"/>
              </w:rPr>
              <w:t>9)</w:t>
            </w:r>
          </w:p>
        </w:tc>
        <w:tc>
          <w:tcPr>
            <w:tcW w:type="dxa" w:w="134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33.9%</w:t>
            </w:r>
          </w:p>
        </w:tc>
        <w:tc>
          <w:tcPr>
            <w:tcW w:type="dxa" w:w="1132"/>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hint="default"/>
                <w:sz w:val="18"/>
                <w:szCs w:val="18"/>
                <w:u w:color="000000"/>
                <w:shd w:val="nil" w:color="auto" w:fill="auto"/>
                <w:rtl w:val="0"/>
                <w:lang w:val="en-US"/>
              </w:rPr>
              <w:t>—</w:t>
            </w:r>
          </w:p>
        </w:tc>
      </w:tr>
      <w:tr>
        <w:tblPrEx>
          <w:shd w:val="clear" w:color="auto" w:fill="ced7e7"/>
        </w:tblPrEx>
        <w:trPr>
          <w:trHeight w:val="195" w:hRule="atLeast"/>
        </w:trPr>
        <w:tc>
          <w:tcPr>
            <w:tcW w:type="dxa" w:w="246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de-DE"/>
              </w:rPr>
              <w:t>PHQ-9: Moderate (10</w:t>
            </w:r>
            <w:r>
              <w:rPr>
                <w:rFonts w:ascii="Times New Roman" w:hAnsi="Times New Roman" w:hint="default"/>
                <w:sz w:val="18"/>
                <w:szCs w:val="18"/>
                <w:u w:color="000000"/>
                <w:shd w:val="nil" w:color="auto" w:fill="auto"/>
                <w:rtl w:val="0"/>
              </w:rPr>
              <w:t>–</w:t>
            </w:r>
            <w:r>
              <w:rPr>
                <w:rFonts w:ascii="Times New Roman" w:hAnsi="Times New Roman"/>
                <w:sz w:val="18"/>
                <w:szCs w:val="18"/>
                <w:u w:color="000000"/>
                <w:shd w:val="nil" w:color="auto" w:fill="auto"/>
                <w:rtl w:val="0"/>
              </w:rPr>
              <w:t>14)</w:t>
            </w:r>
          </w:p>
        </w:tc>
        <w:tc>
          <w:tcPr>
            <w:tcW w:type="dxa" w:w="134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21.1%</w:t>
            </w:r>
          </w:p>
        </w:tc>
        <w:tc>
          <w:tcPr>
            <w:tcW w:type="dxa" w:w="1132"/>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hint="default"/>
                <w:sz w:val="18"/>
                <w:szCs w:val="18"/>
                <w:u w:color="000000"/>
                <w:shd w:val="nil" w:color="auto" w:fill="auto"/>
                <w:rtl w:val="0"/>
                <w:lang w:val="en-US"/>
              </w:rPr>
              <w:t>—</w:t>
            </w:r>
          </w:p>
        </w:tc>
      </w:tr>
      <w:tr>
        <w:tblPrEx>
          <w:shd w:val="clear" w:color="auto" w:fill="ced7e7"/>
        </w:tblPrEx>
        <w:trPr>
          <w:trHeight w:val="195" w:hRule="atLeast"/>
        </w:trPr>
        <w:tc>
          <w:tcPr>
            <w:tcW w:type="dxa" w:w="246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de-DE"/>
              </w:rPr>
              <w:t>PHQ-9: Mod-Severe (15</w:t>
            </w:r>
            <w:r>
              <w:rPr>
                <w:rFonts w:ascii="Times New Roman" w:hAnsi="Times New Roman" w:hint="default"/>
                <w:sz w:val="18"/>
                <w:szCs w:val="18"/>
                <w:u w:color="000000"/>
                <w:shd w:val="nil" w:color="auto" w:fill="auto"/>
                <w:rtl w:val="0"/>
              </w:rPr>
              <w:t>–</w:t>
            </w:r>
            <w:r>
              <w:rPr>
                <w:rFonts w:ascii="Times New Roman" w:hAnsi="Times New Roman"/>
                <w:sz w:val="18"/>
                <w:szCs w:val="18"/>
                <w:u w:color="000000"/>
                <w:shd w:val="nil" w:color="auto" w:fill="auto"/>
                <w:rtl w:val="0"/>
              </w:rPr>
              <w:t>19)</w:t>
            </w:r>
          </w:p>
        </w:tc>
        <w:tc>
          <w:tcPr>
            <w:tcW w:type="dxa" w:w="134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10.6%</w:t>
            </w:r>
          </w:p>
        </w:tc>
        <w:tc>
          <w:tcPr>
            <w:tcW w:type="dxa" w:w="1132"/>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hint="default"/>
                <w:sz w:val="18"/>
                <w:szCs w:val="18"/>
                <w:u w:color="000000"/>
                <w:shd w:val="nil" w:color="auto" w:fill="auto"/>
                <w:rtl w:val="0"/>
                <w:lang w:val="en-US"/>
              </w:rPr>
              <w:t>—</w:t>
            </w:r>
          </w:p>
        </w:tc>
      </w:tr>
      <w:tr>
        <w:tblPrEx>
          <w:shd w:val="clear" w:color="auto" w:fill="ced7e7"/>
        </w:tblPrEx>
        <w:trPr>
          <w:trHeight w:val="195" w:hRule="atLeast"/>
        </w:trPr>
        <w:tc>
          <w:tcPr>
            <w:tcW w:type="dxa" w:w="246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 xml:space="preserve">GAD-7: Anxiety </w:t>
            </w:r>
            <w:r>
              <w:rPr>
                <w:rFonts w:ascii="Times New Roman" w:hAnsi="Times New Roman" w:hint="default"/>
                <w:sz w:val="18"/>
                <w:szCs w:val="18"/>
                <w:u w:color="000000"/>
                <w:shd w:val="nil" w:color="auto" w:fill="auto"/>
                <w:rtl w:val="0"/>
              </w:rPr>
              <w:t xml:space="preserve">≥ </w:t>
            </w:r>
            <w:r>
              <w:rPr>
                <w:rFonts w:ascii="Times New Roman" w:hAnsi="Times New Roman"/>
                <w:sz w:val="18"/>
                <w:szCs w:val="18"/>
                <w:u w:color="000000"/>
                <w:shd w:val="nil" w:color="auto" w:fill="auto"/>
                <w:rtl w:val="0"/>
              </w:rPr>
              <w:t>10</w:t>
            </w:r>
          </w:p>
        </w:tc>
        <w:tc>
          <w:tcPr>
            <w:tcW w:type="dxa" w:w="134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40.0%</w:t>
            </w:r>
          </w:p>
        </w:tc>
        <w:tc>
          <w:tcPr>
            <w:tcW w:type="dxa" w:w="1132"/>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40.0%</w:t>
            </w:r>
          </w:p>
        </w:tc>
      </w:tr>
      <w:tr>
        <w:tblPrEx>
          <w:shd w:val="clear" w:color="auto" w:fill="ced7e7"/>
        </w:tblPrEx>
        <w:trPr>
          <w:trHeight w:val="195" w:hRule="atLeast"/>
        </w:trPr>
        <w:tc>
          <w:tcPr>
            <w:tcW w:type="dxa" w:w="246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Chronic stress (self-reported)</w:t>
            </w:r>
          </w:p>
        </w:tc>
        <w:tc>
          <w:tcPr>
            <w:tcW w:type="dxa" w:w="134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71.7%</w:t>
            </w:r>
          </w:p>
        </w:tc>
        <w:tc>
          <w:tcPr>
            <w:tcW w:type="dxa" w:w="1132"/>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41.0%</w:t>
            </w:r>
          </w:p>
        </w:tc>
      </w:tr>
      <w:tr>
        <w:tblPrEx>
          <w:shd w:val="clear" w:color="auto" w:fill="ced7e7"/>
        </w:tblPrEx>
        <w:trPr>
          <w:trHeight w:val="195" w:hRule="atLeast"/>
        </w:trPr>
        <w:tc>
          <w:tcPr>
            <w:tcW w:type="dxa" w:w="246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Sleep disturbances</w:t>
            </w:r>
          </w:p>
        </w:tc>
        <w:tc>
          <w:tcPr>
            <w:tcW w:type="dxa" w:w="134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57.2%</w:t>
            </w:r>
          </w:p>
        </w:tc>
        <w:tc>
          <w:tcPr>
            <w:tcW w:type="dxa" w:w="1132"/>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8"/>
                <w:szCs w:val="18"/>
                <w:u w:color="000000"/>
                <w:shd w:val="nil" w:color="auto" w:fill="auto"/>
                <w:rtl w:val="0"/>
              </w:rPr>
              <w:t>28.9%</w:t>
            </w:r>
          </w:p>
        </w:tc>
      </w:tr>
    </w:tbl>
    <w:p>
      <w:pPr>
        <w:pStyle w:val="List Paragraph"/>
        <w:widowControl w:val="0"/>
        <w:spacing w:after="60"/>
        <w:jc w:val="both"/>
      </w:pPr>
    </w:p>
    <w:p>
      <w:pPr>
        <w:pStyle w:val="List Paragraph"/>
        <w:widowControl w:val="0"/>
        <w:spacing w:after="60"/>
        <w:jc w:val="both"/>
      </w:pPr>
    </w:p>
    <w:p>
      <w:pPr>
        <w:pStyle w:val="List Paragraph"/>
        <w:widowControl w:val="0"/>
        <w:spacing w:after="60"/>
        <w:jc w:val="both"/>
      </w:pPr>
      <w:r>
        <w:rPr>
          <w:b w:val="1"/>
          <w:bCs w:val="1"/>
          <w:sz w:val="18"/>
          <w:szCs w:val="18"/>
          <w:rtl w:val="0"/>
          <w:lang w:val="en-US"/>
        </w:rPr>
        <w:t>Table 2: Barriers to Seeking Mental Health Support (n = 180)</w:t>
      </w:r>
    </w:p>
    <w:tbl>
      <w:tblPr>
        <w:tblW w:w="493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32"/>
        <w:gridCol w:w="1700"/>
      </w:tblGrid>
      <w:tr>
        <w:tblPrEx>
          <w:shd w:val="clear" w:color="auto" w:fill="ced7e7"/>
        </w:tblPrEx>
        <w:trPr>
          <w:trHeight w:val="195" w:hRule="atLeast"/>
        </w:trPr>
        <w:tc>
          <w:tcPr>
            <w:tcW w:type="dxa" w:w="3232"/>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18"/>
                <w:szCs w:val="18"/>
                <w:u w:color="000000"/>
                <w:shd w:val="nil" w:color="auto" w:fill="auto"/>
                <w:rtl w:val="0"/>
                <w:lang w:val="en-US"/>
              </w:rPr>
              <w:t>Barrier Cited by Respondents</w:t>
            </w:r>
          </w:p>
        </w:tc>
        <w:tc>
          <w:tcPr>
            <w:tcW w:type="dxa" w:w="17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d6e4f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lang w:val="en-US"/>
              </w:rPr>
              <w:t>% Who Cited It</w:t>
            </w:r>
          </w:p>
        </w:tc>
      </w:tr>
      <w:tr>
        <w:tblPrEx>
          <w:shd w:val="clear" w:color="auto" w:fill="ced7e7"/>
        </w:tblPrEx>
        <w:trPr>
          <w:trHeight w:val="195" w:hRule="atLeast"/>
        </w:trPr>
        <w:tc>
          <w:tcPr>
            <w:tcW w:type="dxa" w:w="3232"/>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Fear of stigma / social judgment</w:t>
            </w:r>
          </w:p>
        </w:tc>
        <w:tc>
          <w:tcPr>
            <w:tcW w:type="dxa" w:w="17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67.2%</w:t>
            </w:r>
          </w:p>
        </w:tc>
      </w:tr>
      <w:tr>
        <w:tblPrEx>
          <w:shd w:val="clear" w:color="auto" w:fill="ced7e7"/>
        </w:tblPrEx>
        <w:trPr>
          <w:trHeight w:val="195" w:hRule="atLeast"/>
        </w:trPr>
        <w:tc>
          <w:tcPr>
            <w:tcW w:type="dxa" w:w="3232"/>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Cost of professional therapy</w:t>
            </w:r>
          </w:p>
        </w:tc>
        <w:tc>
          <w:tcPr>
            <w:tcW w:type="dxa" w:w="17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60.0%</w:t>
            </w:r>
          </w:p>
        </w:tc>
      </w:tr>
      <w:tr>
        <w:tblPrEx>
          <w:shd w:val="clear" w:color="auto" w:fill="ced7e7"/>
        </w:tblPrEx>
        <w:trPr>
          <w:trHeight w:val="195" w:hRule="atLeast"/>
        </w:trPr>
        <w:tc>
          <w:tcPr>
            <w:tcW w:type="dxa" w:w="3232"/>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Unaware of where to seek help</w:t>
            </w:r>
          </w:p>
        </w:tc>
        <w:tc>
          <w:tcPr>
            <w:tcW w:type="dxa" w:w="17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52.2%</w:t>
            </w:r>
          </w:p>
        </w:tc>
      </w:tr>
      <w:tr>
        <w:tblPrEx>
          <w:shd w:val="clear" w:color="auto" w:fill="ced7e7"/>
        </w:tblPrEx>
        <w:trPr>
          <w:trHeight w:val="195" w:hRule="atLeast"/>
        </w:trPr>
        <w:tc>
          <w:tcPr>
            <w:tcW w:type="dxa" w:w="3232"/>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Family would not understand</w:t>
            </w:r>
          </w:p>
        </w:tc>
        <w:tc>
          <w:tcPr>
            <w:tcW w:type="dxa" w:w="17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48.3%</w:t>
            </w:r>
          </w:p>
        </w:tc>
      </w:tr>
      <w:tr>
        <w:tblPrEx>
          <w:shd w:val="clear" w:color="auto" w:fill="ced7e7"/>
        </w:tblPrEx>
        <w:trPr>
          <w:trHeight w:val="195" w:hRule="atLeast"/>
        </w:trPr>
        <w:tc>
          <w:tcPr>
            <w:tcW w:type="dxa" w:w="3232"/>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Problem 'not serious enough'</w:t>
            </w:r>
          </w:p>
        </w:tc>
        <w:tc>
          <w:tcPr>
            <w:tcW w:type="dxa" w:w="17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43.9%</w:t>
            </w:r>
          </w:p>
        </w:tc>
      </w:tr>
      <w:tr>
        <w:tblPrEx>
          <w:shd w:val="clear" w:color="auto" w:fill="ced7e7"/>
        </w:tblPrEx>
        <w:trPr>
          <w:trHeight w:val="195" w:hRule="atLeast"/>
        </w:trPr>
        <w:tc>
          <w:tcPr>
            <w:tcW w:type="dxa" w:w="3232"/>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Prior bad counseling experience</w:t>
            </w:r>
          </w:p>
        </w:tc>
        <w:tc>
          <w:tcPr>
            <w:tcW w:type="dxa" w:w="17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17.2%</w:t>
            </w:r>
          </w:p>
        </w:tc>
      </w:tr>
      <w:tr>
        <w:tblPrEx>
          <w:shd w:val="clear" w:color="auto" w:fill="ced7e7"/>
        </w:tblPrEx>
        <w:trPr>
          <w:trHeight w:val="195" w:hRule="atLeast"/>
        </w:trPr>
        <w:tc>
          <w:tcPr>
            <w:tcW w:type="dxa" w:w="3232"/>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Open to AI-based support tool</w:t>
            </w:r>
          </w:p>
        </w:tc>
        <w:tc>
          <w:tcPr>
            <w:tcW w:type="dxa" w:w="1700"/>
            <w:tcBorders>
              <w:top w:val="single" w:color="888888" w:sz="1" w:space="0" w:shadow="0" w:frame="0"/>
              <w:left w:val="single" w:color="888888" w:sz="1" w:space="0" w:shadow="0" w:frame="0"/>
              <w:bottom w:val="single" w:color="888888" w:sz="1" w:space="0" w:shadow="0" w:frame="0"/>
              <w:right w:val="single" w:color="888888"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62.8%</w:t>
            </w:r>
          </w:p>
        </w:tc>
      </w:tr>
    </w:tbl>
    <w:p>
      <w:pPr>
        <w:pStyle w:val="List Paragraph"/>
        <w:widowControl w:val="0"/>
        <w:spacing w:after="60"/>
        <w:jc w:val="both"/>
      </w:pPr>
    </w:p>
    <w:p>
      <w:pPr>
        <w:pStyle w:val="List Paragraph"/>
        <w:widowControl w:val="0"/>
        <w:spacing w:after="60"/>
        <w:jc w:val="both"/>
      </w:pPr>
    </w:p>
    <w:p>
      <w:pPr>
        <w:pStyle w:val="List Paragraph"/>
        <w:widowControl w:val="0"/>
        <w:spacing w:after="60"/>
        <w:jc w:val="both"/>
      </w:pPr>
      <w:r>
        <w:rPr>
          <w:b w:val="1"/>
          <w:bCs w:val="1"/>
          <w:rtl w:val="0"/>
          <w:lang w:val="de-DE"/>
        </w:rPr>
        <w:t>Interpretation:</w:t>
      </w:r>
    </w:p>
    <w:p>
      <w:pPr>
        <w:pStyle w:val="List Paragraph"/>
        <w:widowControl w:val="0"/>
        <w:spacing w:after="60"/>
        <w:jc w:val="both"/>
      </w:pPr>
      <w:r>
        <w:rPr>
          <w:rtl w:val="0"/>
          <w:lang w:val="en-US"/>
        </w:rPr>
        <w:t xml:space="preserve">The first table is telling in its own way. Around 62% of respondents said they had a clear understanding of depression </w:t>
      </w:r>
      <w:r>
        <w:rPr>
          <w:rtl w:val="0"/>
          <w:lang w:val="en-US"/>
        </w:rPr>
        <w:t xml:space="preserve">— </w:t>
      </w:r>
      <w:r>
        <w:rPr>
          <w:rtl w:val="0"/>
          <w:lang w:val="en-US"/>
        </w:rPr>
        <w:t>which sounds decent until you remember this is an educated, urban sample, where you</w:t>
      </w:r>
      <w:r>
        <w:rPr>
          <w:rtl w:val="1"/>
        </w:rPr>
        <w:t>’</w:t>
      </w:r>
      <w:r>
        <w:rPr>
          <w:rtl w:val="0"/>
          <w:lang w:val="en-US"/>
        </w:rPr>
        <w:t>d expect that number to be higher. Awareness of other conditions like PTSD or bipolar disorder was noticeably lower. But what</w:t>
      </w:r>
      <w:r>
        <w:rPr>
          <w:rtl w:val="1"/>
        </w:rPr>
        <w:t>’</w:t>
      </w:r>
      <w:r>
        <w:rPr>
          <w:rtl w:val="0"/>
          <w:lang w:val="en-US"/>
        </w:rPr>
        <w:t>s arguably more concerning is the clinical screening data. Over a third scored in the mild-to-moderate depression range, and 40% showed moderate-to-severe anxiety. These aren</w:t>
      </w:r>
      <w:r>
        <w:rPr>
          <w:rtl w:val="1"/>
        </w:rPr>
        <w:t>’</w:t>
      </w:r>
      <w:r>
        <w:rPr>
          <w:rtl w:val="0"/>
          <w:lang w:val="en-US"/>
        </w:rPr>
        <w:t>t small numbers for a group of reasonably young, otherwise functional adults.</w:t>
      </w:r>
    </w:p>
    <w:p>
      <w:pPr>
        <w:pStyle w:val="List Paragraph"/>
        <w:widowControl w:val="0"/>
        <w:spacing w:after="60"/>
        <w:jc w:val="both"/>
      </w:pPr>
      <w:r>
        <w:rPr>
          <w:rtl w:val="0"/>
          <w:lang w:val="en-US"/>
        </w:rPr>
        <w:t>Chronic stress at 71.7% was the figure that stood out most. There</w:t>
      </w:r>
      <w:r>
        <w:rPr>
          <w:rtl w:val="1"/>
        </w:rPr>
        <w:t>’</w:t>
      </w:r>
      <w:r>
        <w:rPr>
          <w:rtl w:val="0"/>
          <w:lang w:val="en-US"/>
        </w:rPr>
        <w:t xml:space="preserve">s something worth noting here: sustained stress tends to normalize itself. People adapt to feeling overwhelmed and stop registering it as a problem. That makes it easier to miss the point at which stress tips into something clinically significant. The sleep disturbance data (57.2%) connects to this </w:t>
      </w:r>
      <w:r>
        <w:rPr>
          <w:rtl w:val="0"/>
          <w:lang w:val="en-US"/>
        </w:rPr>
        <w:t xml:space="preserve">— </w:t>
      </w:r>
      <w:r>
        <w:rPr>
          <w:rtl w:val="0"/>
          <w:lang w:val="en-US"/>
        </w:rPr>
        <w:t>poor sleep and chronic stress feed into each other, and together they compound over time in ways that aren</w:t>
      </w:r>
      <w:r>
        <w:rPr>
          <w:rtl w:val="1"/>
        </w:rPr>
        <w:t>’</w:t>
      </w:r>
      <w:r>
        <w:rPr>
          <w:rtl w:val="0"/>
          <w:lang w:val="en-US"/>
        </w:rPr>
        <w:t>t always obvious from the inside.</w:t>
      </w:r>
    </w:p>
    <w:p>
      <w:pPr>
        <w:pStyle w:val="List Paragraph"/>
        <w:widowControl w:val="0"/>
        <w:spacing w:after="60"/>
        <w:jc w:val="both"/>
      </w:pPr>
      <w:r>
        <w:rPr>
          <w:rtl w:val="0"/>
          <w:lang w:val="en-US"/>
        </w:rPr>
        <w:t>Table 2 mostly confirms what mental health researchers have been saying for a long time. Stigma leads the list of barriers, followed by cost and not knowing where to turn. None of that is new. What</w:t>
      </w:r>
      <w:r>
        <w:rPr>
          <w:rtl w:val="1"/>
        </w:rPr>
        <w:t>’</w:t>
      </w:r>
      <w:r>
        <w:rPr>
          <w:rtl w:val="0"/>
          <w:lang w:val="en-US"/>
        </w:rPr>
        <w:t>s more interesting is the last row: 62.8% said they</w:t>
      </w:r>
      <w:r>
        <w:rPr>
          <w:rtl w:val="1"/>
        </w:rPr>
        <w:t>’</w:t>
      </w:r>
      <w:r>
        <w:rPr>
          <w:rtl w:val="0"/>
          <w:lang w:val="en-US"/>
        </w:rPr>
        <w:t>d be willing to try an AI-based tool. That</w:t>
      </w:r>
      <w:r>
        <w:rPr>
          <w:rtl w:val="1"/>
        </w:rPr>
        <w:t>’</w:t>
      </w:r>
      <w:r>
        <w:rPr>
          <w:rtl w:val="0"/>
          <w:lang w:val="en-US"/>
        </w:rPr>
        <w:t>s a meaningful number. The same people who won</w:t>
      </w:r>
      <w:r>
        <w:rPr>
          <w:rtl w:val="1"/>
        </w:rPr>
        <w:t>’</w:t>
      </w:r>
      <w:r>
        <w:rPr>
          <w:rtl w:val="0"/>
          <w:lang w:val="en-US"/>
        </w:rPr>
        <w:t>t walk into a counselor</w:t>
      </w:r>
      <w:r>
        <w:rPr>
          <w:rtl w:val="1"/>
        </w:rPr>
        <w:t>’</w:t>
      </w:r>
      <w:r>
        <w:rPr>
          <w:rtl w:val="0"/>
          <w:lang w:val="en-US"/>
        </w:rPr>
        <w:t>s office will often engage with a digital tool precisely because it</w:t>
      </w:r>
      <w:r>
        <w:rPr>
          <w:rtl w:val="1"/>
        </w:rPr>
        <w:t>’</w:t>
      </w:r>
      <w:r>
        <w:rPr>
          <w:rtl w:val="0"/>
          <w:lang w:val="en-US"/>
        </w:rPr>
        <w:t>s private, available at any hour, and carries no social cost.</w:t>
      </w:r>
    </w:p>
    <w:p>
      <w:pPr>
        <w:pStyle w:val="List Paragraph"/>
        <w:widowControl w:val="0"/>
        <w:spacing w:after="60"/>
        <w:jc w:val="both"/>
      </w:pPr>
      <w:r>
        <w:rPr>
          <w:rtl w:val="0"/>
          <w:lang w:val="en-US"/>
        </w:rPr>
        <w:t xml:space="preserve">The </w:t>
      </w:r>
      <w:r>
        <w:rPr>
          <w:rtl w:val="1"/>
        </w:rPr>
        <w:t>‘</w:t>
      </w:r>
      <w:r>
        <w:rPr>
          <w:rtl w:val="0"/>
          <w:lang w:val="en-US"/>
        </w:rPr>
        <w:t>not serious enough</w:t>
      </w:r>
      <w:r>
        <w:rPr>
          <w:rtl w:val="1"/>
        </w:rPr>
        <w:t xml:space="preserve">’ </w:t>
      </w:r>
      <w:r>
        <w:rPr>
          <w:rtl w:val="0"/>
          <w:lang w:val="en-US"/>
        </w:rPr>
        <w:t>response (43.9%) also deserves some attention. It</w:t>
      </w:r>
      <w:r>
        <w:rPr>
          <w:rtl w:val="1"/>
        </w:rPr>
        <w:t>’</w:t>
      </w:r>
      <w:r>
        <w:rPr>
          <w:rtl w:val="0"/>
          <w:lang w:val="en-US"/>
        </w:rPr>
        <w:t>s a pattern that shows up repeatedly in the mental health literature: people downplay what they</w:t>
      </w:r>
      <w:r>
        <w:rPr>
          <w:rtl w:val="1"/>
        </w:rPr>
        <w:t>’</w:t>
      </w:r>
      <w:r>
        <w:rPr>
          <w:rtl w:val="0"/>
          <w:lang w:val="en-US"/>
        </w:rPr>
        <w:t xml:space="preserve">re going through, wait, and by the time they seek help, things have gotten more difficult than they needed to be. Part of it is an awareness gap </w:t>
      </w:r>
      <w:r>
        <w:rPr>
          <w:rtl w:val="0"/>
          <w:lang w:val="en-US"/>
        </w:rPr>
        <w:t xml:space="preserve">— </w:t>
      </w:r>
      <w:r>
        <w:rPr>
          <w:rtl w:val="0"/>
          <w:lang w:val="en-US"/>
        </w:rPr>
        <w:t>not having the vocabulary to recognize clinical distress when it</w:t>
      </w:r>
      <w:r>
        <w:rPr>
          <w:rtl w:val="1"/>
        </w:rPr>
        <w:t>’</w:t>
      </w:r>
      <w:r>
        <w:rPr>
          <w:rtl w:val="0"/>
          <w:lang w:val="en-US"/>
        </w:rPr>
        <w:t xml:space="preserve">s happening to you. Part of it is cultural </w:t>
      </w:r>
      <w:r>
        <w:rPr>
          <w:rtl w:val="0"/>
          <w:lang w:val="en-US"/>
        </w:rPr>
        <w:t xml:space="preserve">— </w:t>
      </w:r>
      <w:r>
        <w:rPr>
          <w:rtl w:val="0"/>
          <w:lang w:val="en-US"/>
        </w:rPr>
        <w:t>a tendency to frame struggling as something to push through rather than address.</w:t>
      </w:r>
    </w:p>
    <w:p>
      <w:pPr>
        <w:pStyle w:val="List Paragraph"/>
        <w:widowControl w:val="0"/>
        <w:spacing w:after="60"/>
        <w:jc w:val="both"/>
      </w:pPr>
    </w:p>
    <w:tbl>
      <w:tblPr>
        <w:tblW w:w="493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32"/>
      </w:tblGrid>
      <w:tr>
        <w:tblPrEx>
          <w:shd w:val="clear" w:color="auto" w:fill="ced7e7"/>
        </w:tblPrEx>
        <w:trPr>
          <w:trHeight w:val="3258" w:hRule="atLeast"/>
        </w:trPr>
        <w:tc>
          <w:tcPr>
            <w:tcW w:type="dxa" w:w="4932"/>
            <w:tcBorders>
              <w:top w:val="single" w:color="555555" w:sz="3" w:space="0" w:shadow="0" w:frame="0"/>
              <w:left w:val="single" w:color="555555" w:sz="3" w:space="0" w:shadow="0" w:frame="0"/>
              <w:bottom w:val="single" w:color="555555" w:sz="3" w:space="0" w:shadow="0" w:frame="0"/>
              <w:right w:val="single" w:color="555555" w:sz="3"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3020568" cy="1776805"/>
                  <wp:effectExtent l="0" t="0" r="0" b="0"/>
                  <wp:docPr id="1073741825" name="officeArt object" descr="DiagramCycle"/>
                  <wp:cNvGraphicFramePr/>
                  <a:graphic xmlns:a="http://schemas.openxmlformats.org/drawingml/2006/main">
                    <a:graphicData uri="http://schemas.openxmlformats.org/drawingml/2006/picture">
                      <pic:pic xmlns:pic="http://schemas.openxmlformats.org/drawingml/2006/picture">
                        <pic:nvPicPr>
                          <pic:cNvPr id="1073741825" name="DiagramCycle" descr="DiagramCycle"/>
                          <pic:cNvPicPr>
                            <a:picLocks noChangeAspect="1"/>
                          </pic:cNvPicPr>
                        </pic:nvPicPr>
                        <pic:blipFill>
                          <a:blip r:embed="rId6">
                            <a:extLst/>
                          </a:blip>
                          <a:stretch>
                            <a:fillRect/>
                          </a:stretch>
                        </pic:blipFill>
                        <pic:spPr>
                          <a:xfrm>
                            <a:off x="0" y="0"/>
                            <a:ext cx="3020568" cy="1776805"/>
                          </a:xfrm>
                          <a:prstGeom prst="rect">
                            <a:avLst/>
                          </a:prstGeom>
                          <a:ln w="12700" cap="flat">
                            <a:noFill/>
                            <a:miter lim="400000"/>
                          </a:ln>
                          <a:effectLst/>
                        </pic:spPr>
                      </pic:pic>
                    </a:graphicData>
                  </a:graphic>
                </wp:inline>
              </w:drawing>
            </w:r>
          </w:p>
          <w:p>
            <w:pPr>
              <w:pStyle w:val="Default"/>
              <w:tabs>
                <w:tab w:val="left" w:pos="720"/>
                <w:tab w:val="left" w:pos="1440"/>
                <w:tab w:val="left" w:pos="2160"/>
                <w:tab w:val="left" w:pos="2880"/>
                <w:tab w:val="left" w:pos="3600"/>
                <w:tab w:val="left" w:pos="4320"/>
              </w:tabs>
            </w:pPr>
            <w:r>
              <w:rPr>
                <w:rFonts w:ascii="Times New Roman" w:hAnsi="Times New Roman"/>
                <w:i w:val="1"/>
                <w:iCs w:val="1"/>
                <w:outline w:val="0"/>
                <w:color w:val="555555"/>
                <w:sz w:val="18"/>
                <w:szCs w:val="18"/>
                <w:u w:color="555555"/>
                <w:shd w:val="nil" w:color="auto" w:fill="auto"/>
                <w:rtl w:val="0"/>
                <w:lang w:val="en-US"/>
                <w14:textFill>
                  <w14:solidFill>
                    <w14:srgbClr w14:val="555555"/>
                  </w14:solidFill>
                </w14:textFill>
              </w:rPr>
              <w:t>Mental Health Awareness</w:t>
            </w:r>
            <w:r>
              <w:rPr>
                <w:rFonts w:ascii="Times New Roman" w:hAnsi="Times New Roman" w:hint="default"/>
                <w:i w:val="1"/>
                <w:iCs w:val="1"/>
                <w:outline w:val="0"/>
                <w:color w:val="555555"/>
                <w:sz w:val="18"/>
                <w:szCs w:val="18"/>
                <w:u w:color="555555"/>
                <w:shd w:val="nil" w:color="auto" w:fill="auto"/>
                <w:rtl w:val="0"/>
                <w14:textFill>
                  <w14:solidFill>
                    <w14:srgbClr w14:val="555555"/>
                  </w14:solidFill>
                </w14:textFill>
              </w:rPr>
              <w:t>–</w:t>
            </w:r>
            <w:r>
              <w:rPr>
                <w:rFonts w:ascii="Times New Roman" w:hAnsi="Times New Roman"/>
                <w:i w:val="1"/>
                <w:iCs w:val="1"/>
                <w:outline w:val="0"/>
                <w:color w:val="555555"/>
                <w:sz w:val="18"/>
                <w:szCs w:val="18"/>
                <w:u w:color="555555"/>
                <w:shd w:val="nil" w:color="auto" w:fill="auto"/>
                <w:rtl w:val="0"/>
                <w:lang w:val="en-US"/>
                <w14:textFill>
                  <w14:solidFill>
                    <w14:srgbClr w14:val="555555"/>
                  </w14:solidFill>
                </w14:textFill>
              </w:rPr>
              <w:t>Action Gap Cycle</w:t>
            </w:r>
          </w:p>
        </w:tc>
      </w:tr>
    </w:tbl>
    <w:p>
      <w:pPr>
        <w:pStyle w:val="List Paragraph"/>
        <w:widowControl w:val="0"/>
        <w:spacing w:after="60"/>
        <w:jc w:val="both"/>
      </w:pPr>
    </w:p>
    <w:p>
      <w:pPr>
        <w:pStyle w:val="List Paragraph"/>
        <w:widowControl w:val="0"/>
        <w:spacing w:after="60"/>
        <w:jc w:val="both"/>
        <w:rPr>
          <w:i w:val="1"/>
          <w:iCs w:val="1"/>
          <w:sz w:val="18"/>
          <w:szCs w:val="18"/>
        </w:rPr>
      </w:pPr>
      <w:r>
        <w:rPr>
          <w:i w:val="1"/>
          <w:iCs w:val="1"/>
          <w:sz w:val="18"/>
          <w:szCs w:val="18"/>
          <w:rtl w:val="0"/>
          <w:lang w:val="en-US"/>
        </w:rPr>
        <w:t>Figure 1: Mental Health Awareness</w:t>
      </w:r>
      <w:r>
        <w:rPr>
          <w:i w:val="1"/>
          <w:iCs w:val="1"/>
          <w:sz w:val="18"/>
          <w:szCs w:val="18"/>
          <w:rtl w:val="0"/>
        </w:rPr>
        <w:t>–</w:t>
      </w:r>
      <w:r>
        <w:rPr>
          <w:i w:val="1"/>
          <w:iCs w:val="1"/>
          <w:sz w:val="18"/>
          <w:szCs w:val="18"/>
          <w:rtl w:val="0"/>
          <w:lang w:val="en-US"/>
        </w:rPr>
        <w:t>Action Gap Cycle</w:t>
      </w:r>
    </w:p>
    <w:p>
      <w:pPr>
        <w:pStyle w:val="List Paragraph"/>
        <w:widowControl w:val="0"/>
        <w:spacing w:after="60"/>
        <w:jc w:val="both"/>
      </w:pPr>
      <w:r>
        <w:rPr>
          <w:i w:val="1"/>
          <w:iCs w:val="1"/>
          <w:sz w:val="18"/>
          <w:szCs w:val="18"/>
          <w:rtl w:val="0"/>
          <w:lang w:val="en-US"/>
        </w:rPr>
        <w:t>The cycle illustrates how lack of awareness, stigma, and limited access create a barrier to help-seeking. AI-based tools can act as an early intervention point to break this cycle.</w:t>
      </w:r>
    </w:p>
    <w:p>
      <w:pPr>
        <w:pStyle w:val="List Paragraph"/>
        <w:widowControl w:val="0"/>
        <w:spacing w:after="60"/>
        <w:jc w:val="both"/>
      </w:pPr>
    </w:p>
    <w:p>
      <w:pPr>
        <w:pStyle w:val="List Paragraph"/>
        <w:widowControl w:val="0"/>
        <w:spacing w:after="60"/>
        <w:jc w:val="both"/>
      </w:pPr>
      <w:r>
        <w:rPr>
          <w:b w:val="1"/>
          <w:bCs w:val="1"/>
          <w:rtl w:val="0"/>
          <w:lang w:val="it-IT"/>
        </w:rPr>
        <w:t>Conclusion</w:t>
      </w:r>
    </w:p>
    <w:p>
      <w:pPr>
        <w:pStyle w:val="List Paragraph"/>
        <w:widowControl w:val="0"/>
        <w:spacing w:after="60"/>
        <w:jc w:val="both"/>
      </w:pPr>
      <w:r>
        <w:rPr>
          <w:rtl w:val="0"/>
          <w:lang w:val="en-US"/>
        </w:rPr>
        <w:t xml:space="preserve">What this study ends up confirming is familiar but still worth stating clearly: mental health among young adults is under-addressed, even as public conversation around it has grown. The people surveyed showed high rates of stress, anxiety, and depressive symptoms </w:t>
      </w:r>
      <w:r>
        <w:rPr>
          <w:rtl w:val="0"/>
          <w:lang w:val="en-US"/>
        </w:rPr>
        <w:t xml:space="preserve">— </w:t>
      </w:r>
      <w:r>
        <w:rPr>
          <w:rtl w:val="0"/>
          <w:lang w:val="en-US"/>
        </w:rPr>
        <w:t>yet most hadn</w:t>
      </w:r>
      <w:r>
        <w:rPr>
          <w:rtl w:val="1"/>
        </w:rPr>
        <w:t>’</w:t>
      </w:r>
      <w:r>
        <w:rPr>
          <w:rtl w:val="0"/>
          <w:lang w:val="en-US"/>
        </w:rPr>
        <w:t>t looked for formal support. Stigma, cost, and the feeling that their problems weren</w:t>
      </w:r>
      <w:r>
        <w:rPr>
          <w:rtl w:val="1"/>
        </w:rPr>
        <w:t>’</w:t>
      </w:r>
      <w:r>
        <w:rPr>
          <w:rtl w:val="0"/>
          <w:lang w:val="en-US"/>
        </w:rPr>
        <w:t>t serious enough kept them from doing so. That last point, in particular, comes up again and again.</w:t>
      </w:r>
    </w:p>
    <w:p>
      <w:pPr>
        <w:pStyle w:val="List Paragraph"/>
        <w:widowControl w:val="0"/>
        <w:spacing w:after="60"/>
        <w:jc w:val="both"/>
      </w:pPr>
      <w:r>
        <w:rPr>
          <w:rtl w:val="0"/>
          <w:lang w:val="en-US"/>
        </w:rPr>
        <w:t>The more hopeful finding is the openness to digital tools. Nearly 63% said they</w:t>
      </w:r>
      <w:r>
        <w:rPr>
          <w:rtl w:val="1"/>
        </w:rPr>
        <w:t>’</w:t>
      </w:r>
      <w:r>
        <w:rPr>
          <w:rtl w:val="0"/>
          <w:lang w:val="en-US"/>
        </w:rPr>
        <w:t>d be willing to try one. That</w:t>
      </w:r>
      <w:r>
        <w:rPr>
          <w:rtl w:val="1"/>
        </w:rPr>
        <w:t>’</w:t>
      </w:r>
      <w:r>
        <w:rPr>
          <w:rtl w:val="0"/>
          <w:lang w:val="en-US"/>
        </w:rPr>
        <w:t>s not a small number. These tools aren</w:t>
      </w:r>
      <w:r>
        <w:rPr>
          <w:rtl w:val="1"/>
        </w:rPr>
        <w:t>’</w:t>
      </w:r>
      <w:r>
        <w:rPr>
          <w:rtl w:val="0"/>
          <w:lang w:val="en-US"/>
        </w:rPr>
        <w:t>t therapy and shouldn</w:t>
      </w:r>
      <w:r>
        <w:rPr>
          <w:rtl w:val="1"/>
        </w:rPr>
        <w:t>’</w:t>
      </w:r>
      <w:r>
        <w:rPr>
          <w:rtl w:val="0"/>
          <w:lang w:val="en-US"/>
        </w:rPr>
        <w:t xml:space="preserve">t be marketed as such </w:t>
      </w:r>
      <w:r>
        <w:rPr>
          <w:rtl w:val="0"/>
          <w:lang w:val="en-US"/>
        </w:rPr>
        <w:t xml:space="preserve">— </w:t>
      </w:r>
      <w:r>
        <w:rPr>
          <w:rtl w:val="0"/>
          <w:lang w:val="en-US"/>
        </w:rPr>
        <w:t>but for the many people in the mild-to-moderate distress range who are currently getting no support at all, they represent a real entry point.</w:t>
      </w:r>
    </w:p>
    <w:p>
      <w:pPr>
        <w:pStyle w:val="List Paragraph"/>
        <w:widowControl w:val="0"/>
        <w:spacing w:after="60"/>
        <w:jc w:val="both"/>
      </w:pPr>
      <w:r>
        <w:rPr>
          <w:rtl w:val="0"/>
          <w:lang w:val="en-US"/>
        </w:rPr>
        <w:t xml:space="preserve">Getting this right will require movement on several fronts at once </w:t>
      </w:r>
      <w:r>
        <w:rPr>
          <w:rtl w:val="0"/>
          <w:lang w:val="en-US"/>
        </w:rPr>
        <w:t xml:space="preserve">— </w:t>
      </w:r>
      <w:r>
        <w:rPr>
          <w:rtl w:val="0"/>
          <w:lang w:val="en-US"/>
        </w:rPr>
        <w:t>awareness campaigns that actually reach non-urban populations, more investment in training professionals, institutional policies that treat mental health as genuinely important, and careful integration of technology that extends reach without sacrificing quality. None of that is quick or easy. But the cost of not doing it is real, and the tendency to treat mental health as somehow less important than physical health is a choice that carries consequences.</w:t>
      </w:r>
    </w:p>
    <w:p>
      <w:pPr>
        <w:pStyle w:val="List Paragraph"/>
        <w:widowControl w:val="0"/>
        <w:spacing w:after="60"/>
        <w:jc w:val="both"/>
      </w:pPr>
      <w:r>
        <w:rPr>
          <w:b w:val="1"/>
          <w:bCs w:val="1"/>
          <w:rtl w:val="0"/>
          <w:lang w:val="it-IT"/>
        </w:rPr>
        <w:t>Future Scope</w:t>
      </w:r>
    </w:p>
    <w:p>
      <w:pPr>
        <w:pStyle w:val="List Paragraph"/>
        <w:widowControl w:val="0"/>
        <w:spacing w:after="60"/>
        <w:jc w:val="both"/>
      </w:pPr>
      <w:r>
        <w:rPr>
          <w:rtl w:val="0"/>
          <w:lang w:val="en-US"/>
        </w:rPr>
        <w:t>The current research opens up several directions for follow-up work:</w:t>
      </w:r>
    </w:p>
    <w:p>
      <w:pPr>
        <w:pStyle w:val="List Paragraph"/>
        <w:numPr>
          <w:ilvl w:val="0"/>
          <w:numId w:val="4"/>
        </w:numPr>
        <w:spacing w:after="60"/>
        <w:jc w:val="both"/>
        <w:rPr>
          <w:lang w:val="en-US"/>
        </w:rPr>
      </w:pPr>
      <w:r>
        <w:rPr>
          <w:rtl w:val="0"/>
          <w:lang w:val="en-US"/>
        </w:rPr>
        <w:t xml:space="preserve">Multilingual AI Tools: Almost all existing mental health apps work in English. Building tools in Hindi, Bengali, Tamil, and other regional languages </w:t>
      </w:r>
      <w:r>
        <w:rPr>
          <w:rtl w:val="0"/>
          <w:lang w:val="en-US"/>
        </w:rPr>
        <w:t xml:space="preserve">— </w:t>
      </w:r>
      <w:r>
        <w:rPr>
          <w:rtl w:val="0"/>
          <w:lang w:val="en-US"/>
        </w:rPr>
        <w:t>with content that</w:t>
      </w:r>
      <w:r>
        <w:rPr>
          <w:rtl w:val="1"/>
        </w:rPr>
        <w:t>’</w:t>
      </w:r>
      <w:r>
        <w:rPr>
          <w:rtl w:val="0"/>
          <w:lang w:val="en-US"/>
        </w:rPr>
        <w:t xml:space="preserve">s actually adapted to those cultural contexts, not just translated </w:t>
      </w:r>
      <w:r>
        <w:rPr>
          <w:rtl w:val="0"/>
          <w:lang w:val="en-US"/>
        </w:rPr>
        <w:t xml:space="preserve">— </w:t>
      </w:r>
      <w:r>
        <w:rPr>
          <w:rtl w:val="0"/>
          <w:lang w:val="en-US"/>
        </w:rPr>
        <w:t>could dramatically expand who can access them in a country as linguistically diverse as India.</w:t>
      </w:r>
    </w:p>
    <w:p>
      <w:pPr>
        <w:pStyle w:val="List Paragraph"/>
        <w:numPr>
          <w:ilvl w:val="0"/>
          <w:numId w:val="4"/>
        </w:numPr>
        <w:spacing w:after="60"/>
        <w:jc w:val="both"/>
        <w:rPr>
          <w:lang w:val="en-US"/>
        </w:rPr>
      </w:pPr>
      <w:r>
        <w:rPr>
          <w:rtl w:val="0"/>
          <w:lang w:val="en-US"/>
        </w:rPr>
        <w:t>Longitudinal Studies: The current research captures a snapshot. Following the same participants over a year or two would give a much clearer picture of how distress develops over time without intervention, and whether digital tools actually produce changes that last.</w:t>
      </w:r>
    </w:p>
    <w:p>
      <w:pPr>
        <w:pStyle w:val="List Paragraph"/>
        <w:numPr>
          <w:ilvl w:val="0"/>
          <w:numId w:val="4"/>
        </w:numPr>
        <w:spacing w:after="60"/>
        <w:jc w:val="both"/>
        <w:rPr>
          <w:lang w:val="en-US"/>
        </w:rPr>
      </w:pPr>
      <w:r>
        <w:rPr>
          <w:rtl w:val="0"/>
          <w:lang w:val="en-US"/>
        </w:rPr>
        <w:t>Rural and Semi-Urban Populations: This study was limited to urban settings. The pressures, cultural norms, and available resources in rural communities are quite different, and that context deserves its own dedicated research rather than being assumed to mirror urban findings.</w:t>
      </w:r>
    </w:p>
    <w:p>
      <w:pPr>
        <w:pStyle w:val="List Paragraph"/>
        <w:numPr>
          <w:ilvl w:val="0"/>
          <w:numId w:val="4"/>
        </w:numPr>
        <w:spacing w:after="60"/>
        <w:jc w:val="both"/>
        <w:rPr>
          <w:lang w:val="en-US"/>
        </w:rPr>
      </w:pPr>
      <w:r>
        <w:rPr>
          <w:rtl w:val="0"/>
          <w:lang w:val="en-US"/>
        </w:rPr>
        <w:t>Emotion and Voice Analysis: Future tools could go further and incorporate voice-based sentiment analysis to pick up on distress signals that users don</w:t>
      </w:r>
      <w:r>
        <w:rPr>
          <w:rtl w:val="1"/>
        </w:rPr>
        <w:t>’</w:t>
      </w:r>
      <w:r>
        <w:rPr>
          <w:rtl w:val="0"/>
          <w:lang w:val="en-US"/>
        </w:rPr>
        <w:t>t explicitly report. That said, the ethical questions around consent and data privacy in that space are serious and would need to be worked through carefully before anything gets deployed.</w:t>
      </w:r>
    </w:p>
    <w:p>
      <w:pPr>
        <w:pStyle w:val="List Paragraph"/>
        <w:numPr>
          <w:ilvl w:val="0"/>
          <w:numId w:val="4"/>
        </w:numPr>
        <w:spacing w:after="60"/>
        <w:jc w:val="both"/>
        <w:rPr>
          <w:lang w:val="en-US"/>
        </w:rPr>
      </w:pPr>
      <w:r>
        <w:rPr>
          <w:rtl w:val="0"/>
          <w:lang w:val="en-US"/>
        </w:rPr>
        <w:t>Workplace Mental Health Integration: Burnout is increasingly being treated as a clinical condition, which opens up interesting territory for AI-based check-in tools designed for professional environments. The challenge is building something genuinely supportive rather than something that feels intrusive or performative.</w:t>
      </w:r>
    </w:p>
    <w:p>
      <w:pPr>
        <w:pStyle w:val="List Paragraph"/>
        <w:numPr>
          <w:ilvl w:val="0"/>
          <w:numId w:val="4"/>
        </w:numPr>
        <w:spacing w:after="60"/>
        <w:jc w:val="both"/>
        <w:rPr>
          <w:lang w:val="en-US"/>
        </w:rPr>
      </w:pPr>
      <w:r>
        <w:rPr>
          <w:rtl w:val="0"/>
          <w:lang w:val="en-US"/>
        </w:rPr>
        <w:t xml:space="preserve">Outcome Evaluation of Existing Apps: Tools like Woebot and Wysa now have real user bases. Independent, longer-term evaluations of their effectiveness </w:t>
      </w:r>
      <w:r>
        <w:rPr>
          <w:rtl w:val="0"/>
          <w:lang w:val="en-US"/>
        </w:rPr>
        <w:t xml:space="preserve">— </w:t>
      </w:r>
      <w:r>
        <w:rPr>
          <w:rtl w:val="0"/>
          <w:lang w:val="en-US"/>
        </w:rPr>
        <w:t xml:space="preserve">especially for moderate rather than just mild distress </w:t>
      </w:r>
      <w:r>
        <w:rPr>
          <w:rtl w:val="0"/>
          <w:lang w:val="en-US"/>
        </w:rPr>
        <w:t xml:space="preserve">— </w:t>
      </w:r>
      <w:r>
        <w:rPr>
          <w:rtl w:val="0"/>
          <w:lang w:val="en-US"/>
        </w:rPr>
        <w:t>would go a long way toward establishing what digital mental health tools can actually deliver, and what they can</w:t>
      </w:r>
      <w:r>
        <w:rPr>
          <w:rtl w:val="1"/>
        </w:rPr>
        <w:t>’</w:t>
      </w:r>
      <w:r>
        <w:rPr>
          <w:rtl w:val="0"/>
        </w:rPr>
        <w:t>t.</w:t>
      </w: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p>
    <w:p>
      <w:pPr>
        <w:pStyle w:val="List Paragraph"/>
        <w:spacing w:after="60"/>
        <w:jc w:val="both"/>
      </w:pPr>
      <w:r>
        <w:rPr>
          <w:b w:val="1"/>
          <w:bCs w:val="1"/>
          <w:rtl w:val="0"/>
          <w:lang w:val="fr-FR"/>
        </w:rPr>
        <w:t>References:</w:t>
      </w:r>
    </w:p>
    <w:p>
      <w:pPr>
        <w:pStyle w:val="List Paragraph"/>
        <w:spacing w:after="60"/>
        <w:jc w:val="both"/>
      </w:pPr>
      <w:r>
        <w:rPr>
          <w:rtl w:val="0"/>
          <w:lang w:val="en-US"/>
        </w:rPr>
        <w:t>1. World Health Organization. (2022). World Mental Health Report: Transforming Mental Health for All. WHO Press, Geneva.</w:t>
      </w:r>
    </w:p>
    <w:p>
      <w:pPr>
        <w:pStyle w:val="List Paragraph"/>
        <w:spacing w:after="60"/>
        <w:jc w:val="both"/>
      </w:pPr>
      <w:r>
        <w:rPr>
          <w:rtl w:val="0"/>
          <w:lang w:val="en-US"/>
        </w:rPr>
        <w:t>2. Gururaj, G., Varghese, M., Benegal, V., Rao, G. N., Pathak, K., Singh, L. K., &amp; NMHS Collaborators Group. (2016). National Mental Health Survey of India, 2015</w:t>
      </w:r>
      <w:r>
        <w:rPr>
          <w:rtl w:val="0"/>
        </w:rPr>
        <w:t>–</w:t>
      </w:r>
      <w:r>
        <w:rPr>
          <w:rtl w:val="0"/>
          <w:lang w:val="en-US"/>
        </w:rPr>
        <w:t>16. NIMHANS Publication No. 128.</w:t>
      </w:r>
    </w:p>
    <w:p>
      <w:pPr>
        <w:pStyle w:val="List Paragraph"/>
        <w:spacing w:after="60"/>
        <w:jc w:val="both"/>
      </w:pPr>
      <w:r>
        <w:rPr>
          <w:rtl w:val="0"/>
          <w:lang w:val="en-US"/>
        </w:rPr>
        <w:t>3. Murray, C. J. L., &amp; Lopez, A. D. (1996). The Global Burden of Disease. Harvard University Press.</w:t>
      </w:r>
    </w:p>
    <w:p>
      <w:pPr>
        <w:pStyle w:val="List Paragraph"/>
        <w:spacing w:after="60"/>
        <w:jc w:val="both"/>
      </w:pPr>
      <w:r>
        <w:rPr>
          <w:rtl w:val="0"/>
          <w:lang w:val="en-US"/>
        </w:rPr>
        <w:t>4. Corrigan, P. W. (2004). How stigma interferes with mental health care. American Psychologist, 59(7), 614</w:t>
      </w:r>
      <w:r>
        <w:rPr>
          <w:rtl w:val="0"/>
        </w:rPr>
        <w:t>–</w:t>
      </w:r>
      <w:r>
        <w:rPr>
          <w:rtl w:val="0"/>
        </w:rPr>
        <w:t>625.</w:t>
      </w:r>
    </w:p>
    <w:p>
      <w:pPr>
        <w:pStyle w:val="List Paragraph"/>
        <w:spacing w:after="60"/>
        <w:jc w:val="both"/>
      </w:pPr>
      <w:r>
        <w:rPr>
          <w:rtl w:val="0"/>
          <w:lang w:val="en-US"/>
        </w:rPr>
        <w:t>5. Linardon, J., Cuijpers, P., Carlbring, P., Messer, M., &amp; Fuller-Tyszkiewicz, M. (2020). The efficacy of app-supported smartphone interventions for mental health problems: A meta-analysis. World Psychiatry, 18(3), 325</w:t>
      </w:r>
      <w:r>
        <w:rPr>
          <w:rtl w:val="0"/>
        </w:rPr>
        <w:t>–</w:t>
      </w:r>
      <w:r>
        <w:rPr>
          <w:rtl w:val="0"/>
        </w:rPr>
        <w:t>336.</w:t>
      </w:r>
    </w:p>
    <w:p>
      <w:pPr>
        <w:pStyle w:val="List Paragraph"/>
        <w:spacing w:after="60"/>
        <w:jc w:val="both"/>
      </w:pPr>
      <w:r>
        <w:rPr>
          <w:rtl w:val="0"/>
          <w:lang w:val="en-US"/>
        </w:rPr>
        <w:t>6. Rajkumar, R. P. (2020). COVID-19 and mental health: A review of existing literature. Asian Journal of Psychiatry, 52, 102066.</w:t>
      </w:r>
    </w:p>
    <w:p>
      <w:pPr>
        <w:pStyle w:val="List Paragraph"/>
        <w:spacing w:after="60"/>
        <w:jc w:val="both"/>
      </w:pPr>
      <w:r>
        <w:rPr>
          <w:rtl w:val="0"/>
          <w:lang w:val="en-US"/>
        </w:rPr>
        <w:t>7. Abd-Alrazaq, A. A., Alajlani, M., Ali, N., Denecke, K., Bewick, B. M., &amp; Househ, M. (2020). Perceptions and opinions of patients about mental health chatbots: Scoping review. Journal of Medical Internet Research, 22(3), e17828.</w:t>
      </w:r>
    </w:p>
    <w:p>
      <w:pPr>
        <w:pStyle w:val="List Paragraph"/>
        <w:spacing w:after="60"/>
        <w:jc w:val="both"/>
      </w:pPr>
      <w:r>
        <w:rPr>
          <w:rtl w:val="0"/>
          <w:lang w:val="en-US"/>
        </w:rPr>
        <w:t>8. Kroenke, K., Spitzer, R. L., &amp; Williams, J. B. (2001). The PHQ-9: Validity of a brief depression severity measure. Journal of General Internal Medicine, 16(9), 606</w:t>
      </w:r>
      <w:r>
        <w:rPr>
          <w:rtl w:val="0"/>
        </w:rPr>
        <w:t>–</w:t>
      </w:r>
      <w:r>
        <w:rPr>
          <w:rtl w:val="0"/>
        </w:rPr>
        <w:t>613.</w:t>
      </w:r>
    </w:p>
    <w:sectPr>
      <w:type w:val="continuous"/>
      <w:pgSz w:w="12240" w:h="15840" w:orient="portrait"/>
      <w:pgMar w:top="1008" w:right="1008" w:bottom="1008" w:left="1008" w:header="708" w:footer="708"/>
      <w:cols w:space="360"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600" w:hanging="30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600" w:hanging="30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60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600" w:hanging="30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600" w:hanging="30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60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600" w:hanging="30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600" w:hanging="30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0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600" w:hanging="30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600" w:hanging="30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60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600" w:hanging="30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600" w:hanging="30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60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600" w:hanging="30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00" w:hanging="30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