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0c81gjmqodj" w:id="0"/>
      <w:bookmarkEnd w:id="0"/>
      <w:r w:rsidDel="00000000" w:rsidR="00000000" w:rsidRPr="00000000">
        <w:rPr>
          <w:rFonts w:ascii="Arial Unicode MS" w:cs="Arial Unicode MS" w:eastAsia="Arial Unicode MS" w:hAnsi="Arial Unicode MS"/>
          <w:b w:val="1"/>
          <w:color w:val="000000"/>
          <w:sz w:val="26"/>
          <w:szCs w:val="26"/>
          <w:rtl w:val="0"/>
        </w:rPr>
        <w:t xml:space="preserve">拡張連続性公理におけるT値からのパラメーター逆算可能性の検討</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e7cquu8u6h0" w:id="1"/>
      <w:bookmarkEnd w:id="1"/>
      <w:r w:rsidDel="00000000" w:rsidR="00000000" w:rsidRPr="00000000">
        <w:rPr>
          <w:rFonts w:ascii="Arial Unicode MS" w:cs="Arial Unicode MS" w:eastAsia="Arial Unicode MS" w:hAnsi="Arial Unicode MS"/>
          <w:b w:val="1"/>
          <w:color w:val="000000"/>
          <w:sz w:val="22"/>
          <w:szCs w:val="22"/>
          <w:rtl w:val="0"/>
        </w:rPr>
        <w:t xml:space="preserve">副題：シグモイド関数を用いる意義とその妥当性に関する考察</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tv0mfkaift28" w:id="2"/>
      <w:bookmarkEnd w:id="2"/>
      <w:r w:rsidDel="00000000" w:rsidR="00000000" w:rsidRPr="00000000">
        <w:rPr>
          <w:rFonts w:ascii="Arial Unicode MS" w:cs="Arial Unicode MS" w:eastAsia="Arial Unicode MS" w:hAnsi="Arial Unicode MS"/>
          <w:b w:val="1"/>
          <w:color w:val="000000"/>
          <w:sz w:val="22"/>
          <w:szCs w:val="22"/>
          <w:rtl w:val="0"/>
        </w:rPr>
        <w:t xml:space="preserve">概要</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本稿では拡張連続性公理（ECA）に基づいた数理モデルにおいて、観測結果 T の値から未知のパラメーター B、K、I をどのような条件下で逆算できるかについて主に論じる。また、この逆算過程における関数形として一般に用いられる「シグモイド関数」についても、その使用妥当性や意味論的役割を副次的に検討する。</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eqiqoy5yri9d" w:id="3"/>
      <w:bookmarkEnd w:id="3"/>
      <w:r w:rsidDel="00000000" w:rsidR="00000000" w:rsidRPr="00000000">
        <w:rPr>
          <w:rFonts w:ascii="Arial Unicode MS" w:cs="Arial Unicode MS" w:eastAsia="Arial Unicode MS" w:hAnsi="Arial Unicode MS"/>
          <w:b w:val="1"/>
          <w:color w:val="000000"/>
          <w:sz w:val="22"/>
          <w:szCs w:val="22"/>
          <w:rtl w:val="0"/>
        </w:rPr>
        <w:t xml:space="preserve">1. パラメーター B、K、I の逆算可能性について</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本節では観測結果 T のみ、あるいは部分的な情報（Tと1つまたは2つのパラメーター）から、B、K、I の値を逆算できるかについて検討する。</w:t>
      </w:r>
    </w:p>
    <w:p w:rsidR="00000000" w:rsidDel="00000000" w:rsidP="00000000" w:rsidRDefault="00000000" w:rsidRPr="00000000" w14:paraId="00000008">
      <w:pPr>
        <w:pStyle w:val="Heading5"/>
        <w:keepNext w:val="0"/>
        <w:keepLines w:val="0"/>
        <w:spacing w:after="40" w:before="220" w:lineRule="auto"/>
        <w:rPr>
          <w:b w:val="1"/>
          <w:color w:val="000000"/>
          <w:sz w:val="20"/>
          <w:szCs w:val="20"/>
        </w:rPr>
      </w:pPr>
      <w:bookmarkStart w:colFirst="0" w:colLast="0" w:name="_nfhdbfl4wf0v" w:id="4"/>
      <w:bookmarkEnd w:id="4"/>
      <w:r w:rsidDel="00000000" w:rsidR="00000000" w:rsidRPr="00000000">
        <w:rPr>
          <w:rFonts w:ascii="Arial Unicode MS" w:cs="Arial Unicode MS" w:eastAsia="Arial Unicode MS" w:hAnsi="Arial Unicode MS"/>
          <w:b w:val="1"/>
          <w:color w:val="000000"/>
          <w:sz w:val="20"/>
          <w:szCs w:val="20"/>
          <w:rtl w:val="0"/>
        </w:rPr>
        <w:t xml:space="preserve">(1) Tの値のみが与えられた場合</w:t>
      </w:r>
    </w:p>
    <w:p w:rsidR="00000000" w:rsidDel="00000000" w:rsidP="00000000" w:rsidRDefault="00000000" w:rsidRPr="00000000" w14:paraId="00000009">
      <w:pPr>
        <w:spacing w:after="240" w:before="240" w:lineRule="auto"/>
        <w:rPr/>
      </w:pPr>
      <w:r w:rsidDel="00000000" w:rsidR="00000000" w:rsidRPr="00000000">
        <w:rPr>
          <w:rtl w:val="0"/>
        </w:rPr>
        <w:t xml:space="preserve">T = σ(αB +βK + γI) </w:t>
      </w:r>
      <w:r w:rsidDel="00000000" w:rsidR="00000000" w:rsidRPr="00000000">
        <w:rPr>
          <w:rFonts w:ascii="Arial Unicode MS" w:cs="Arial Unicode MS" w:eastAsia="Arial Unicode MS" w:hAnsi="Arial Unicode MS"/>
          <w:rtl w:val="0"/>
        </w:rPr>
        <w:t xml:space="preserve">の逆写像として、シグモイド関数の逆関数であるロジット関数を用いると：</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\sigma^{-1}(T) = \log\left( \frac{T}{1 - T} \right) = \alpha B + \beta K + \gamma 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この時点で得られる情報は、B、K、I の</w:t>
      </w:r>
      <w:r w:rsidDel="00000000" w:rsidR="00000000" w:rsidRPr="00000000">
        <w:rPr>
          <w:rFonts w:ascii="Arial Unicode MS" w:cs="Arial Unicode MS" w:eastAsia="Arial Unicode MS" w:hAnsi="Arial Unicode MS"/>
          <w:b w:val="1"/>
          <w:rtl w:val="0"/>
        </w:rPr>
        <w:t xml:space="preserve">線形結合の結果</w:t>
      </w:r>
      <w:r w:rsidDel="00000000" w:rsidR="00000000" w:rsidRPr="00000000">
        <w:rPr>
          <w:rFonts w:ascii="Arial Unicode MS" w:cs="Arial Unicode MS" w:eastAsia="Arial Unicode MS" w:hAnsi="Arial Unicode MS"/>
          <w:rtl w:val="0"/>
        </w:rPr>
        <w:t xml:space="preserve">でしかなく、それぞれの値を</w:t>
      </w:r>
      <w:r w:rsidDel="00000000" w:rsidR="00000000" w:rsidRPr="00000000">
        <w:rPr>
          <w:rFonts w:ascii="Arial Unicode MS" w:cs="Arial Unicode MS" w:eastAsia="Arial Unicode MS" w:hAnsi="Arial Unicode MS"/>
          <w:b w:val="1"/>
          <w:rtl w:val="0"/>
        </w:rPr>
        <w:t xml:space="preserve">一意に特定することは不可能</w:t>
      </w:r>
      <w:r w:rsidDel="00000000" w:rsidR="00000000" w:rsidRPr="00000000">
        <w:rPr>
          <w:rFonts w:ascii="Arial Unicode MS" w:cs="Arial Unicode MS" w:eastAsia="Arial Unicode MS" w:hAnsi="Arial Unicode MS"/>
          <w:rtl w:val="0"/>
        </w:rPr>
        <w:t xml:space="preserve">である。ただし、外部条件や補助変数が存在する場合、情報補完により再構成可能となる。</w:t>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1ywyn42n5c0v" w:id="5"/>
      <w:bookmarkEnd w:id="5"/>
      <w:r w:rsidDel="00000000" w:rsidR="00000000" w:rsidRPr="00000000">
        <w:rPr>
          <w:rFonts w:ascii="Arial Unicode MS" w:cs="Arial Unicode MS" w:eastAsia="Arial Unicode MS" w:hAnsi="Arial Unicode MS"/>
          <w:b w:val="1"/>
          <w:color w:val="000000"/>
          <w:sz w:val="20"/>
          <w:szCs w:val="20"/>
          <w:rtl w:val="0"/>
        </w:rPr>
        <w:t xml:space="preserve">(2) Tと2つのパラメーターが既知の場合</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たとえば、T、B、K が既知であれば、上記の式を用いて I を以下のように求めることができる：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\gamma I = \log\left( \frac{T}{1 - T} \right) - \alpha B - \beta K</w:t>
      </w:r>
    </w:p>
    <w:p w:rsidR="00000000" w:rsidDel="00000000" w:rsidP="00000000" w:rsidRDefault="00000000" w:rsidRPr="00000000" w14:paraId="00000012">
      <w:pPr>
        <w:rPr/>
      </w:pPr>
      <w:r w:rsidDel="00000000" w:rsidR="00000000" w:rsidRPr="00000000">
        <w:rPr>
          <w:rtl w:val="0"/>
        </w:rPr>
        <w:t xml:space="preserve">\quad \Rightarrow \quad</w:t>
      </w:r>
    </w:p>
    <w:p w:rsidR="00000000" w:rsidDel="00000000" w:rsidP="00000000" w:rsidRDefault="00000000" w:rsidRPr="00000000" w14:paraId="00000013">
      <w:pPr>
        <w:rPr/>
      </w:pPr>
      <w:r w:rsidDel="00000000" w:rsidR="00000000" w:rsidRPr="00000000">
        <w:rPr>
          <w:rtl w:val="0"/>
        </w:rPr>
        <w:t xml:space="preserve">I = \frac{1}{\gamma} \left[ \log\left( \frac{T}{1 - T} \right) - \alpha B - \beta K \right]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このように、</w:t>
      </w:r>
      <w:r w:rsidDel="00000000" w:rsidR="00000000" w:rsidRPr="00000000">
        <w:rPr>
          <w:rFonts w:ascii="Arial Unicode MS" w:cs="Arial Unicode MS" w:eastAsia="Arial Unicode MS" w:hAnsi="Arial Unicode MS"/>
          <w:b w:val="1"/>
          <w:rtl w:val="0"/>
        </w:rPr>
        <w:t xml:space="preserve">3つのうち2つのパラメーターが既知であれば、残りの1つは一意に決定可能</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16">
      <w:pPr>
        <w:pStyle w:val="Heading5"/>
        <w:keepNext w:val="0"/>
        <w:keepLines w:val="0"/>
        <w:spacing w:after="40" w:before="220" w:lineRule="auto"/>
        <w:rPr>
          <w:b w:val="1"/>
          <w:color w:val="000000"/>
          <w:sz w:val="20"/>
          <w:szCs w:val="20"/>
        </w:rPr>
      </w:pPr>
      <w:bookmarkStart w:colFirst="0" w:colLast="0" w:name="_ngwsc6xiojyy" w:id="6"/>
      <w:bookmarkEnd w:id="6"/>
      <w:r w:rsidDel="00000000" w:rsidR="00000000" w:rsidRPr="00000000">
        <w:rPr>
          <w:rFonts w:ascii="Arial Unicode MS" w:cs="Arial Unicode MS" w:eastAsia="Arial Unicode MS" w:hAnsi="Arial Unicode MS"/>
          <w:b w:val="1"/>
          <w:color w:val="000000"/>
          <w:sz w:val="20"/>
          <w:szCs w:val="20"/>
          <w:rtl w:val="0"/>
        </w:rPr>
        <w:t xml:space="preserve">(3) Tと1つのパラメーターが既知の場合</w:t>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この場合は、残りの2つのパラメーターが混在しているため、一意な値は得られない。ただし、</w:t>
      </w:r>
      <w:r w:rsidDel="00000000" w:rsidR="00000000" w:rsidRPr="00000000">
        <w:rPr>
          <w:rFonts w:ascii="Arial Unicode MS" w:cs="Arial Unicode MS" w:eastAsia="Arial Unicode MS" w:hAnsi="Arial Unicode MS"/>
          <w:b w:val="1"/>
          <w:rtl w:val="0"/>
        </w:rPr>
        <w:t xml:space="preserve">残り2つの変数の間の線形関係式</w:t>
      </w:r>
      <w:r w:rsidDel="00000000" w:rsidR="00000000" w:rsidRPr="00000000">
        <w:rPr>
          <w:rFonts w:ascii="Arial Unicode MS" w:cs="Arial Unicode MS" w:eastAsia="Arial Unicode MS" w:hAnsi="Arial Unicode MS"/>
          <w:rtl w:val="0"/>
        </w:rPr>
        <w:t xml:space="preserve">を導出することはできる：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\beta K + \gamma I = \log\left( \frac{T}{1 - T} \right) - \alpha B</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この式により、KとIの制約条件が明示され、さらなる条件が与えられれば具体的な値に収束させることが可能になる。</w:t>
      </w:r>
    </w:p>
    <w:p w:rsidR="00000000" w:rsidDel="00000000" w:rsidP="00000000" w:rsidRDefault="00000000" w:rsidRPr="00000000" w14:paraId="0000001C">
      <w:pPr>
        <w:pStyle w:val="Heading5"/>
        <w:keepNext w:val="0"/>
        <w:keepLines w:val="0"/>
        <w:spacing w:after="40" w:before="220" w:lineRule="auto"/>
        <w:rPr/>
      </w:pPr>
      <w:bookmarkStart w:colFirst="0" w:colLast="0" w:name="_o6esamyfbyih" w:id="7"/>
      <w:bookmarkEnd w:id="7"/>
      <w:r w:rsidDel="00000000" w:rsidR="00000000" w:rsidRPr="00000000">
        <w:rPr>
          <w:rFonts w:ascii="Arial Unicode MS" w:cs="Arial Unicode MS" w:eastAsia="Arial Unicode MS" w:hAnsi="Arial Unicode MS"/>
          <w:b w:val="1"/>
          <w:color w:val="000000"/>
          <w:sz w:val="20"/>
          <w:szCs w:val="20"/>
          <w:rtl w:val="0"/>
        </w:rPr>
        <w:t xml:space="preserve">(4) 行列形式への拡張と多変数系への適用</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パラメーター B、K、I を1次元変数ではなく行列（またはベクトル）として捉えると、より高次元かつ複雑な物理系にも適用可能である。たとえば：</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\mathbf{T} = \sigma(\mathbf{A} \cdot \mathbf{X})</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\quad \text{ただし } \mathbf{X} = \begin{bmatrix} B \\ K \\ I \end{bmatrix}, \quad \mathbf{A} = [\alpha, \beta, \gamma]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このような形にすると、非線形システムや複数点の観測データから、回帰・最小二乗法・ベイズ推定を通じて B、K、I の系列推定が可能となる。</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Fonts w:ascii="Arial Unicode MS" w:cs="Arial Unicode MS" w:eastAsia="Arial Unicode MS" w:hAnsi="Arial Unicode MS"/>
          <w:b w:val="1"/>
          <w:sz w:val="24"/>
          <w:szCs w:val="24"/>
          <w:rtl w:val="0"/>
        </w:rPr>
        <w:t xml:space="preserve">行列表現による一般化</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パラメーター B, K, I を要素とする列ベクトル </w:t>
      </w:r>
      <w:r w:rsidDel="00000000" w:rsidR="00000000" w:rsidRPr="00000000">
        <w:rPr>
          <w:rFonts w:ascii="Georgia" w:cs="Georgia" w:eastAsia="Georgia" w:hAnsi="Georgia"/>
          <w:sz w:val="24"/>
          <w:szCs w:val="24"/>
          <w:rtl w:val="0"/>
        </w:rPr>
        <w:t xml:space="preserve">x</w:t>
      </w:r>
      <w:r w:rsidDel="00000000" w:rsidR="00000000" w:rsidRPr="00000000">
        <w:rPr>
          <w:rFonts w:ascii="Gungsuh" w:cs="Gungsuh" w:eastAsia="Gungsuh" w:hAnsi="Gungsuh"/>
          <w:rtl w:val="0"/>
        </w:rPr>
        <w:t xml:space="preserve"> ∈</w:t>
      </w:r>
      <w:r w:rsidDel="00000000" w:rsidR="00000000" w:rsidRPr="00000000">
        <w:rPr>
          <w:rFonts w:ascii="Arial Unicode MS" w:cs="Arial Unicode MS" w:eastAsia="Arial Unicode MS" w:hAnsi="Arial Unicode MS"/>
          <w:rtl w:val="0"/>
        </w:rPr>
        <w:t xml:space="preserve"> ℝ³ 、および係数 α, β, γ を要素とする行ベクトル </w:t>
      </w:r>
      <w:r w:rsidDel="00000000" w:rsidR="00000000" w:rsidRPr="00000000">
        <w:rPr>
          <w:rFonts w:ascii="Gungsuh" w:cs="Gungsuh" w:eastAsia="Gungsuh" w:hAnsi="Gungsuh"/>
          <w:sz w:val="24"/>
          <w:szCs w:val="24"/>
          <w:rtl w:val="0"/>
        </w:rPr>
        <w:t xml:space="preserve">w ∈ </w:t>
      </w:r>
      <w:r w:rsidDel="00000000" w:rsidR="00000000" w:rsidRPr="00000000">
        <w:rPr>
          <w:rFonts w:ascii="Arial Unicode MS" w:cs="Arial Unicode MS" w:eastAsia="Arial Unicode MS" w:hAnsi="Arial Unicode MS"/>
          <w:rtl w:val="0"/>
        </w:rPr>
        <w:t xml:space="preserve">ℝ¹⁺³ により：</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 = \sigma(\mathbf{w} \cdot \mathbf{x}) = \sigma(w_1 B + w_2 K + w_3 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これを行列演算により拡張すれば、複数のTに対して同時にB, K, Iを扱う多次元系への一般化も可能となる。</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5"/>
        <w:keepNext w:val="0"/>
        <w:keepLines w:val="0"/>
        <w:spacing w:after="40" w:before="220" w:lineRule="auto"/>
        <w:rPr>
          <w:b w:val="1"/>
          <w:color w:val="000000"/>
          <w:sz w:val="20"/>
          <w:szCs w:val="20"/>
        </w:rPr>
      </w:pPr>
      <w:bookmarkStart w:colFirst="0" w:colLast="0" w:name="_43eo8jtlue43" w:id="8"/>
      <w:bookmarkEnd w:id="8"/>
      <w:r w:rsidDel="00000000" w:rsidR="00000000" w:rsidRPr="00000000">
        <w:rPr>
          <w:rFonts w:ascii="Arial Unicode MS" w:cs="Arial Unicode MS" w:eastAsia="Arial Unicode MS" w:hAnsi="Arial Unicode MS"/>
          <w:b w:val="1"/>
          <w:color w:val="000000"/>
          <w:sz w:val="20"/>
          <w:szCs w:val="20"/>
          <w:rtl w:val="0"/>
        </w:rPr>
        <w:t xml:space="preserve">(5) 幾何的・代数的視点からの考察</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この構造は、ℝ³ 空間上の平面の方程式に相当し、T値はその平面上の高さ情報に対応する。これにより、幾何学的手法や線形代数的アプローチを用いて可視化・制約解析が可能となる。</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5"/>
        <w:keepNext w:val="0"/>
        <w:keepLines w:val="0"/>
        <w:spacing w:after="40" w:before="220" w:lineRule="auto"/>
        <w:rPr/>
      </w:pPr>
      <w:bookmarkStart w:colFirst="0" w:colLast="0" w:name="_arigrmu8axbw" w:id="9"/>
      <w:bookmarkEnd w:id="9"/>
      <w:r w:rsidDel="00000000" w:rsidR="00000000" w:rsidRPr="00000000">
        <w:rPr>
          <w:rFonts w:ascii="Arial Unicode MS" w:cs="Arial Unicode MS" w:eastAsia="Arial Unicode MS" w:hAnsi="Arial Unicode MS"/>
          <w:b w:val="1"/>
          <w:color w:val="000000"/>
          <w:sz w:val="20"/>
          <w:szCs w:val="20"/>
          <w:rtl w:val="0"/>
        </w:rPr>
        <w:t xml:space="preserve">(6) 応用：流体の局所乱流とその逆解析</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ECAによるパラメーター逆算構造は流体の局所的乱流に対する逆問題として応用可能である。たとえば乱流の観測結果 T_obs を得たとき、その乱流が持つ構造的要因（境界条件、粘性係数、初期速度場など）をECAモデルのパラメーター B, K, I に写像できる。</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応用プロセス：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1. T_obs をシグモイド変換された総合応答とみなす</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2. ロジット変換により原因パラメーターの線形結合を抽出：</w:t>
      </w:r>
    </w:p>
    <w:p w:rsidR="00000000" w:rsidDel="00000000" w:rsidP="00000000" w:rsidRDefault="00000000" w:rsidRPr="00000000" w14:paraId="00000035">
      <w:pPr>
        <w:spacing w:after="240" w:before="240" w:lineRule="auto"/>
        <w:rPr/>
      </w:pPr>
      <w:r w:rsidDel="00000000" w:rsidR="00000000" w:rsidRPr="00000000">
        <w:rPr>
          <w:rtl w:val="0"/>
        </w:rPr>
        <w:t xml:space="preserve">\log\left( \frac{T_{obs}}{1 - T_{obs}} \right) = \alpha B + \beta K + \gamma I</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3. 乱流の対称性や保存則（ナビエ・ストークス方程式等）から、B, K, I の物理的意味と制約条件を導出</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4. 逆解析によって、流体中の局所乱流の原因構造を再構築</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これにより、局所乱流の定量的な把握や制御可能性の評価、あるいは未観測領域の物理推定が可能となる。</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したがって、Tを「局所的流速変化の観測値」とみなした場合、B、K、Iは流体の微視的な物理要因（例えば局所密度勾配、圧力、粘性応力）と解釈可能である。逆算のフレームを活用すれば、次のような応用が可能となる：</w:t>
      </w:r>
    </w:p>
    <w:p w:rsidR="00000000" w:rsidDel="00000000" w:rsidP="00000000" w:rsidRDefault="00000000" w:rsidRPr="00000000" w14:paraId="0000003C">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・局所乱流の起因構造の特定（逆証明）</w:t>
      </w:r>
    </w:p>
    <w:p w:rsidR="00000000" w:rsidDel="00000000" w:rsidP="00000000" w:rsidRDefault="00000000" w:rsidRPr="00000000" w14:paraId="0000003D">
      <w:pPr>
        <w:spacing w:after="240" w:before="240" w:lineRule="auto"/>
        <w:ind w:left="0" w:firstLine="0"/>
        <w:rPr>
          <w:b w:val="1"/>
        </w:rPr>
      </w:pPr>
      <w:r w:rsidDel="00000000" w:rsidR="00000000" w:rsidRPr="00000000">
        <w:rPr>
          <w:rFonts w:ascii="Arial Unicode MS" w:cs="Arial Unicode MS" w:eastAsia="Arial Unicode MS" w:hAnsi="Arial Unicode MS"/>
          <w:b w:val="1"/>
          <w:rtl w:val="0"/>
        </w:rPr>
        <w:t xml:space="preserve">・ナビエ＝ストークス方程式における初期条件の最適化</w:t>
      </w:r>
    </w:p>
    <w:p w:rsidR="00000000" w:rsidDel="00000000" w:rsidP="00000000" w:rsidRDefault="00000000" w:rsidRPr="00000000" w14:paraId="0000003E">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・カオス的振る舞いをもつ流れに対する制御構造の抽出</w:t>
      </w:r>
      <w:r w:rsidDel="00000000" w:rsidR="00000000" w:rsidRPr="00000000">
        <w:rPr>
          <w:rtl w:val="0"/>
        </w:rPr>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5"/>
        <w:keepNext w:val="0"/>
        <w:keepLines w:val="0"/>
        <w:spacing w:after="40" w:before="220" w:lineRule="auto"/>
        <w:rPr/>
      </w:pPr>
      <w:bookmarkStart w:colFirst="0" w:colLast="0" w:name="_n59ivgayhd2i" w:id="10"/>
      <w:bookmarkEnd w:id="10"/>
      <w:r w:rsidDel="00000000" w:rsidR="00000000" w:rsidRPr="00000000">
        <w:rPr>
          <w:rFonts w:ascii="Arial Unicode MS" w:cs="Arial Unicode MS" w:eastAsia="Arial Unicode MS" w:hAnsi="Arial Unicode MS"/>
          <w:b w:val="1"/>
          <w:color w:val="000000"/>
          <w:sz w:val="20"/>
          <w:szCs w:val="20"/>
          <w:rtl w:val="0"/>
        </w:rPr>
        <w:t xml:space="preserve">(7) 厳密証明・形式証明・無矛盾性の検証への展開</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ECAにおけるTの定義とその逆変換構造は、数学的形式主義の観点から以下の方向に展開できる：</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(1) 厳密証明：</w:t>
      </w:r>
    </w:p>
    <w:p w:rsidR="00000000" w:rsidDel="00000000" w:rsidP="00000000" w:rsidRDefault="00000000" w:rsidRPr="00000000" w14:paraId="00000044">
      <w:pPr>
        <w:spacing w:after="240" w:before="240" w:lineRule="auto"/>
        <w:rPr/>
      </w:pPr>
      <w:r w:rsidDel="00000000" w:rsidR="00000000" w:rsidRPr="00000000">
        <w:rPr>
          <w:rFonts w:ascii="Arial Unicode MS" w:cs="Arial Unicode MS" w:eastAsia="Arial Unicode MS" w:hAnsi="Arial Unicode MS"/>
          <w:rtl w:val="0"/>
        </w:rPr>
        <w:t xml:space="preserve">・パラメーター間の写像が連続写像かつ可逆であるならば、関数 T = σ(αB +βK + γI) は全射的性質を持ち、 T ∈ (0, 1)  上での一意性が保証される</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・この構造を用いて、定義域と値域の間の単射性・全射性・全単射性を数学的に証明可能</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(2) 形式証明：</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・定理：∀T ∈ (0, 1), ∃!(B, K, I) ∈ ℝ³ s.t. T = σ(αB +βK + γI) が成り立つ（2つのパラメーターが既知である条件下）</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・証明はロジット逆写像と代数的操作により構成可能</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(3) 逆証明：</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・Tの観測値から仮説として得られたパラメーターB', K', I'をもとにT'を再計算し、T' ≈ Tであることを確認する</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・この手法により、理論的逆算の正当性を経験的に検証できる</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(4) 無矛盾性の検証：</w:t>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・異なる観測T₁, T₂,...に対応するB, K, Iの解が一貫した論理構造を持つならば、モデル内部に自己矛盾が存在しないことの証明が可能</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・多数のT観測値をもとに得られた解集合が有界閉集合となり、各点に対する逆写像が存在するならば、モデルは論理的一貫性を持つことを示す</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このように、逆算構造を通じてECAそのものの無矛盾性と健全性を形式的に検証する道が開ける。</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本逆算構造により、次のような論理的処理が可能となる：</w:t>
      </w:r>
    </w:p>
    <w:p w:rsidR="00000000" w:rsidDel="00000000" w:rsidP="00000000" w:rsidRDefault="00000000" w:rsidRPr="00000000" w14:paraId="00000054">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・形式証明</w:t>
      </w:r>
      <w:r w:rsidDel="00000000" w:rsidR="00000000" w:rsidRPr="00000000">
        <w:rPr>
          <w:rFonts w:ascii="Arial Unicode MS" w:cs="Arial Unicode MS" w:eastAsia="Arial Unicode MS" w:hAnsi="Arial Unicode MS"/>
          <w:rtl w:val="0"/>
        </w:rPr>
        <w:t xml:space="preserve">：観測 T がある特定の初期条件・パラメーター組によって導出されたことを論理的に示す。</w:t>
      </w:r>
    </w:p>
    <w:p w:rsidR="00000000" w:rsidDel="00000000" w:rsidP="00000000" w:rsidRDefault="00000000" w:rsidRPr="00000000" w14:paraId="00000055">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・逆証明</w:t>
      </w:r>
      <w:r w:rsidDel="00000000" w:rsidR="00000000" w:rsidRPr="00000000">
        <w:rPr>
          <w:rFonts w:ascii="Arial Unicode MS" w:cs="Arial Unicode MS" w:eastAsia="Arial Unicode MS" w:hAnsi="Arial Unicode MS"/>
          <w:rtl w:val="0"/>
        </w:rPr>
        <w:t xml:space="preserve">：特定の物理効果（例：Iの変化）が T に特定の変化をもたらすことの反証、あるいは構成的裏付け。</w:t>
      </w:r>
    </w:p>
    <w:p w:rsidR="00000000" w:rsidDel="00000000" w:rsidP="00000000" w:rsidRDefault="00000000" w:rsidRPr="00000000" w14:paraId="00000056">
      <w:pPr>
        <w:spacing w:after="240" w:before="240" w:lineRule="auto"/>
        <w:ind w:left="0" w:firstLine="0"/>
        <w:rPr/>
      </w:pPr>
      <w:r w:rsidDel="00000000" w:rsidR="00000000" w:rsidRPr="00000000">
        <w:rPr>
          <w:rFonts w:ascii="Arial Unicode MS" w:cs="Arial Unicode MS" w:eastAsia="Arial Unicode MS" w:hAnsi="Arial Unicode MS"/>
          <w:b w:val="1"/>
          <w:rtl w:val="0"/>
        </w:rPr>
        <w:t xml:space="preserve">・無矛盾性証明</w:t>
      </w:r>
      <w:r w:rsidDel="00000000" w:rsidR="00000000" w:rsidRPr="00000000">
        <w:rPr>
          <w:rFonts w:ascii="Arial Unicode MS" w:cs="Arial Unicode MS" w:eastAsia="Arial Unicode MS" w:hAnsi="Arial Unicode MS"/>
          <w:rtl w:val="0"/>
        </w:rPr>
        <w:t xml:space="preserve">：同一Tに対して異なるB、K、Iの組が複数存在しないこと、あるいはその存在が矛盾を起こさないことを示す。</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以下の表に、逆算の可能性と条件をまとめる：</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Fonts w:ascii="Arial Unicode MS" w:cs="Arial Unicode MS" w:eastAsia="Arial Unicode MS" w:hAnsi="Arial Unicode MS"/>
                <w:b w:val="1"/>
                <w:rtl w:val="0"/>
              </w:rPr>
              <w:t xml:space="preserve">与えられた情報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Fonts w:ascii="Arial Unicode MS" w:cs="Arial Unicode MS" w:eastAsia="Arial Unicode MS" w:hAnsi="Arial Unicode MS"/>
                <w:b w:val="1"/>
                <w:rtl w:val="0"/>
              </w:rPr>
              <w:t xml:space="preserve">逆算可能性</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Fonts w:ascii="Arial Unicode MS" w:cs="Arial Unicode MS" w:eastAsia="Arial Unicode MS" w:hAnsi="Arial Unicode MS"/>
                <w:b w:val="1"/>
                <w:rtl w:val="0"/>
              </w:rPr>
              <w:t xml:space="preserve">結果</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T のみ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×（不定）</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線形結合のみ可能。追加情報が必要。</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T + 1変数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残り2変数の線形関係を導出可能。</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T + 2変数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残り1変数を一意に決定可能。</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T + 外部構造</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制約式や関係式が十分なら再構成可能。</w:t>
            </w:r>
          </w:p>
        </w:tc>
      </w:tr>
    </w:tbl>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7i8bgugssgdz" w:id="11"/>
      <w:bookmarkEnd w:id="11"/>
      <w:r w:rsidDel="00000000" w:rsidR="00000000" w:rsidRPr="00000000">
        <w:rPr>
          <w:rFonts w:ascii="Arial Unicode MS" w:cs="Arial Unicode MS" w:eastAsia="Arial Unicode MS" w:hAnsi="Arial Unicode MS"/>
          <w:b w:val="1"/>
          <w:color w:val="000000"/>
          <w:sz w:val="22"/>
          <w:szCs w:val="22"/>
          <w:rtl w:val="0"/>
        </w:rPr>
        <w:t xml:space="preserve">2. シグモイド関数の定義とその形式的妥当性</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いわゆる「シグモイド関数」とは、以下の形で表される関数である：</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\sigma(x) = \frac{1}{1 + e^{-x}}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この関数は以下のような特徴を持つ：</w:t>
      </w:r>
    </w:p>
    <w:p w:rsidR="00000000" w:rsidDel="00000000" w:rsidP="00000000" w:rsidRDefault="00000000" w:rsidRPr="00000000" w14:paraId="0000006E">
      <w:pPr>
        <w:numPr>
          <w:ilvl w:val="0"/>
          <w:numId w:val="1"/>
        </w:numPr>
        <w:spacing w:after="0" w:afterAutospacing="0" w:before="240" w:lineRule="auto"/>
        <w:ind w:left="720" w:hanging="360"/>
      </w:pPr>
      <w:r w:rsidDel="00000000" w:rsidR="00000000" w:rsidRPr="00000000">
        <w:rPr>
          <w:rtl w:val="0"/>
        </w:rPr>
        <w:t xml:space="preserve">σ(</w:t>
      </w:r>
      <w:r w:rsidDel="00000000" w:rsidR="00000000" w:rsidRPr="00000000">
        <w:rPr>
          <w:sz w:val="24"/>
          <w:szCs w:val="24"/>
          <w:rtl w:val="0"/>
        </w:rPr>
        <w:t xml:space="preserve">𝒙</w:t>
      </w:r>
      <w:r w:rsidDel="00000000" w:rsidR="00000000" w:rsidRPr="00000000">
        <w:rPr>
          <w:rFonts w:ascii="Arial Unicode MS" w:cs="Arial Unicode MS" w:eastAsia="Arial Unicode MS" w:hAnsi="Arial Unicode MS"/>
          <w:rtl w:val="0"/>
        </w:rPr>
        <w:t xml:space="preserve">) ∈ (0, 1) に収束</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8"/>
          <w:szCs w:val="28"/>
          <w:rtl w:val="0"/>
        </w:rPr>
        <w:t xml:space="preserve">𝒙 </w:t>
      </w: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Gungsuh" w:cs="Gungsuh" w:eastAsia="Gungsuh" w:hAnsi="Gungsuh"/>
          <w:sz w:val="28"/>
          <w:szCs w:val="28"/>
          <w:rtl w:val="0"/>
        </w:rPr>
        <w:t xml:space="preserve">∞ </w:t>
      </w:r>
      <w:r w:rsidDel="00000000" w:rsidR="00000000" w:rsidRPr="00000000">
        <w:rPr>
          <w:rFonts w:ascii="Arial Unicode MS" w:cs="Arial Unicode MS" w:eastAsia="Arial Unicode MS" w:hAnsi="Arial Unicode MS"/>
          <w:rtl w:val="0"/>
        </w:rPr>
        <w:t xml:space="preserve">で 1 に近づき、 </w:t>
      </w:r>
      <w:r w:rsidDel="00000000" w:rsidR="00000000" w:rsidRPr="00000000">
        <w:rPr>
          <w:rFonts w:ascii="Times New Roman" w:cs="Times New Roman" w:eastAsia="Times New Roman" w:hAnsi="Times New Roman"/>
          <w:sz w:val="28"/>
          <w:szCs w:val="28"/>
          <w:rtl w:val="0"/>
        </w:rPr>
        <w:t xml:space="preserve">𝒙 </w:t>
      </w: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rFonts w:ascii="Gungsuh" w:cs="Gungsuh" w:eastAsia="Gungsuh" w:hAnsi="Gungsuh"/>
          <w:sz w:val="28"/>
          <w:szCs w:val="28"/>
          <w:rtl w:val="0"/>
        </w:rPr>
        <w:t xml:space="preserve">∞ </w:t>
      </w:r>
      <w:r w:rsidDel="00000000" w:rsidR="00000000" w:rsidRPr="00000000">
        <w:rPr>
          <w:rFonts w:ascii="Arial Unicode MS" w:cs="Arial Unicode MS" w:eastAsia="Arial Unicode MS" w:hAnsi="Arial Unicode MS"/>
          <w:rtl w:val="0"/>
        </w:rPr>
        <w:t xml:space="preserve">で 0 に近づく</w:t>
      </w:r>
    </w:p>
    <w:p w:rsidR="00000000" w:rsidDel="00000000" w:rsidP="00000000" w:rsidRDefault="00000000" w:rsidRPr="00000000" w14:paraId="00000070">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単調増加・滑らか（無限回微分可能）</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なおこの関数は生物学、神経科学、機械学習、統計学、経済学など、非常に多くの分野で応用されており、生物学専用の関数ではない。</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たとえば拡張連続性公理（ECA）に基づき、観測結果 を以下のようにモデル化する場合：</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 = \sigma\left( \alpha B + \beta K + \gamma I \right)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この式は、B, K, I の線形結合を非線形にマッピングする形式であり、滑らかな遷移や連続的因果推論の基盤となり得る。</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yks89kffdj5r" w:id="12"/>
      <w:bookmarkEnd w:id="12"/>
      <w:r w:rsidDel="00000000" w:rsidR="00000000" w:rsidRPr="00000000">
        <w:rPr>
          <w:rFonts w:ascii="Arial Unicode MS" w:cs="Arial Unicode MS" w:eastAsia="Arial Unicode MS" w:hAnsi="Arial Unicode MS"/>
          <w:b w:val="1"/>
          <w:color w:val="000000"/>
          <w:sz w:val="22"/>
          <w:szCs w:val="22"/>
          <w:rtl w:val="0"/>
        </w:rPr>
        <w:t xml:space="preserve">3. シグモイド関数という名称の是非</w:t>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数理的に式の意味が伝わるのであれば、必ずしも「シグモイド関数」という語を使用する必要はない。むしろ、次のような場合には命名を避けた方が望ましい：</w:t>
      </w:r>
    </w:p>
    <w:p w:rsidR="00000000" w:rsidDel="00000000" w:rsidP="00000000" w:rsidRDefault="00000000" w:rsidRPr="00000000" w14:paraId="0000007A">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関数の形が固定されておらず、仮定的な段階にあるとき</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読者が特定分野の文脈（例：神経科学）に引っ張られるおそれがあるとき</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抽象的・一般的理論における柔軟な適用を優先したいとき</w:t>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そのため、次のように書くのがより適切な場合がある：</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 = \frac{1}{1 + \exp(-\alpha B - \beta K - \gamma 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Fonts w:ascii="Arial Unicode MS" w:cs="Arial Unicode MS" w:eastAsia="Arial Unicode MS" w:hAnsi="Arial Unicode MS"/>
          <w:rtl w:val="0"/>
        </w:rPr>
        <w:t xml:space="preserve">この形であれば、特定の関数名に依存せずにその数学的性質（滑らかさ、単調性、収束性）を明示できる。</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4hhp98nd37z0" w:id="13"/>
      <w:bookmarkEnd w:id="13"/>
      <w:r w:rsidDel="00000000" w:rsidR="00000000" w:rsidRPr="00000000">
        <w:rPr>
          <w:rFonts w:ascii="Arial Unicode MS" w:cs="Arial Unicode MS" w:eastAsia="Arial Unicode MS" w:hAnsi="Arial Unicode MS"/>
          <w:b w:val="1"/>
          <w:color w:val="000000"/>
          <w:sz w:val="22"/>
          <w:szCs w:val="22"/>
          <w:rtl w:val="0"/>
        </w:rPr>
        <w:t xml:space="preserve">4. 結論</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観測値 T とパラメーター間の関係において、必要な条件が揃っていれば逆算可能であることが示された。特に、Tと2つのパラメーターが既知であれば残り1つは一意に求められるという結果は、ECAの応用上重要な洞察である。</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シグモイド関数」は多分野における汎用的構造であり、その使用は数学的には妥当である。しかしながら、ECAのような文脈自由な抽象理論においては、関数名よりも関数の構造と意味そのものを明示する方が、理論の透明性と普遍性を保つ上でより望ましい。</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このように、理論記述においては「関数名の省略＝意味の喪失」ではなく、むしろ</w:t>
      </w:r>
      <w:r w:rsidDel="00000000" w:rsidR="00000000" w:rsidRPr="00000000">
        <w:rPr>
          <w:rFonts w:ascii="Arial Unicode MS" w:cs="Arial Unicode MS" w:eastAsia="Arial Unicode MS" w:hAnsi="Arial Unicode MS"/>
          <w:b w:val="1"/>
          <w:rtl w:val="0"/>
        </w:rPr>
        <w:t xml:space="preserve">意味の自由度と表現の柔軟性を保つ手段</w:t>
      </w:r>
      <w:r w:rsidDel="00000000" w:rsidR="00000000" w:rsidRPr="00000000">
        <w:rPr>
          <w:rFonts w:ascii="Arial Unicode MS" w:cs="Arial Unicode MS" w:eastAsia="Arial Unicode MS" w:hAnsi="Arial Unicode MS"/>
          <w:rtl w:val="0"/>
        </w:rPr>
        <w:t xml:space="preserve">となりうる。また、パラメーター逆算可能性の構造理解を通じて、より複雑な自然現象への数理的対応力も高められる可能性がある。</w:t>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Georgia"/>
  <w:font w:name="Gungsuh"/>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