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実験計画書～条件～</w:t>
      </w:r>
    </w:p>
    <w:p>
      <w:pPr>
        <w:jc w:val="right"/>
      </w:pPr>
      <w:r>
        <w:rPr>
          <w:sz w:val="16"/>
          <w:szCs w:val="16"/>
        </w:rPr>
        <w:t xml:space="preserve">2026/07/10</w:t>
      </w:r>
    </w:p>
    <w:p>
      <w:pPr>
        <w:jc w:val="right"/>
      </w:pPr>
      <w:r>
        <w:rPr>
          <w:sz w:val="16"/>
          <w:szCs w:val="16"/>
        </w:rPr>
        <w:t xml:space="preserve">Gr03</w:t>
      </w:r>
    </w:p>
    <w:p>
      <w:pPr>
        <w:jc w:val="right"/>
      </w:pPr>
      <w:r>
        <w:rPr>
          <w:sz w:val="16"/>
          <w:szCs w:val="16"/>
        </w:rPr>
        <w:t xml:space="preserve">123D024　大槻　雅宜</w:t>
      </w:r>
    </w:p>
    <w:p>
      <w:pPr>
        <w:jc w:val="right"/>
      </w:pPr>
      <w:r>
        <w:rPr>
          <w:sz w:val="16"/>
          <w:szCs w:val="16"/>
        </w:rPr>
        <w:t xml:space="preserve">123D075　添野真之介</w:t>
      </w:r>
    </w:p>
    <w:p>
      <w:pPr>
        <w:spacing w:after="120" w:before="240"/>
      </w:pPr>
      <w:r>
        <w:rPr>
          <w:b/>
          <w:bCs/>
          <w:sz w:val="24"/>
          <w:szCs w:val="24"/>
        </w:rPr>
        <w:t xml:space="preserve">1．本計画書の目的</w:t>
      </w:r>
    </w:p>
    <w:p>
      <w:pPr>
        <w:spacing w:after="60" w:before="60"/>
      </w:pPr>
      <w:r>
        <w:rPr>
          <w:sz w:val="20"/>
          <w:szCs w:val="20"/>
        </w:rPr>
        <w:t xml:space="preserve">本実験では、ホストOS単体（環境A）・VM単体（環境B）・Docker単体（環境C）・VM上Docker（環境D）の4環境について、CPU・メモリ・ストレージ・ネットワーク性能を「同一条件下」で比較することを目的としている。本計画書では、この「同一条件」を具体的にどのように担保するかを、先行研究の調査結果と、本実験で使用するホストマシンのCPU構成を踏まえて整理する。</w:t>
      </w:r>
    </w:p>
    <w:p>
      <w:pPr>
        <w:spacing w:after="60" w:before="60"/>
      </w:pPr>
      <w:r>
        <w:rPr>
          <w:sz w:val="20"/>
          <w:szCs w:val="20"/>
        </w:rPr>
        <w:t xml:space="preserve">特に本実験で使用するホストCPUはPコア（高性能コア）とEコア（高効率コア）が混在するハイブリッド構成であるため、仮想化方式（VM／Docker／二重仮想化）による性能差を測定する前に、コア種別の違いという交絡要因を制御する必要がある。本計画書はその制御方針を定めるものである。</w:t>
      </w:r>
    </w:p>
    <w:p>
      <w:pPr>
        <w:spacing w:after="120" w:before="240"/>
      </w:pPr>
      <w:r>
        <w:rPr>
          <w:b/>
          <w:bCs/>
          <w:sz w:val="24"/>
          <w:szCs w:val="24"/>
        </w:rPr>
        <w:t xml:space="preserve">2．ホストCPU構成</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000"/>
        <w:gridCol w:w="6480"/>
      </w:tblGrid>
      <w:tr>
        <w:tc>
          <w:tcPr>
            <w:tcW w:type="dxa" w:w="3000"/>
            <w:tcBorders>
              <w:top w:val="single" w:color="999999" w:sz="4"/>
              <w:left w:val="single" w:color="999999" w:sz="4"/>
              <w:bottom w:val="single" w:color="999999" w:sz="4"/>
              <w:right w:val="single" w:color="999999" w:sz="4"/>
            </w:tcBorders>
            <w:shd w:fill="E7E6E6" w:color="auto" w:val="clear"/>
          </w:tcPr>
          <w:p>
            <w:r>
              <w:rPr>
                <w:b/>
                <w:bCs/>
                <w:sz w:val="20"/>
                <w:szCs w:val="20"/>
              </w:rPr>
              <w:t xml:space="preserve">項目</w:t>
            </w:r>
          </w:p>
        </w:tc>
        <w:tc>
          <w:tcPr>
            <w:tcW w:type="dxa" w:w="6480"/>
            <w:tcBorders>
              <w:top w:val="single" w:color="999999" w:sz="4"/>
              <w:left w:val="single" w:color="999999" w:sz="4"/>
              <w:bottom w:val="single" w:color="999999" w:sz="4"/>
              <w:right w:val="single" w:color="999999" w:sz="4"/>
            </w:tcBorders>
            <w:shd w:fill="E7E6E6" w:color="auto" w:val="clear"/>
          </w:tcPr>
          <w:p>
            <w:r>
              <w:rPr>
                <w:b/>
                <w:bCs/>
                <w:sz w:val="20"/>
                <w:szCs w:val="20"/>
              </w:rPr>
              <w:t xml:space="preserve">内容</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コア/スレッド数</w:t>
            </w:r>
          </w:p>
        </w:tc>
        <w:tc>
          <w:tcPr>
            <w:tcW w:type="dxa" w:w="6480"/>
            <w:tcBorders>
              <w:top w:val="single" w:color="999999" w:sz="4"/>
              <w:left w:val="single" w:color="999999" w:sz="4"/>
              <w:bottom w:val="single" w:color="999999" w:sz="4"/>
              <w:right w:val="single" w:color="999999" w:sz="4"/>
            </w:tcBorders>
          </w:tcPr>
          <w:p>
            <w:r>
              <w:rPr>
                <w:sz w:val="20"/>
                <w:szCs w:val="20"/>
              </w:rPr>
              <w:t xml:space="preserve">20コア／20スレッド（Hyper-Threadingなし）</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Pコア（高性能コア）</w:t>
            </w:r>
          </w:p>
        </w:tc>
        <w:tc>
          <w:tcPr>
            <w:tcW w:type="dxa" w:w="6480"/>
            <w:tcBorders>
              <w:top w:val="single" w:color="999999" w:sz="4"/>
              <w:left w:val="single" w:color="999999" w:sz="4"/>
              <w:bottom w:val="single" w:color="999999" w:sz="4"/>
              <w:right w:val="single" w:color="999999" w:sz="4"/>
            </w:tcBorders>
          </w:tcPr>
          <w:p>
            <w:r>
              <w:rPr>
                <w:sz w:val="20"/>
                <w:szCs w:val="20"/>
              </w:rPr>
              <w:t xml:space="preserve">8基</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Eコア（高効率コア）</w:t>
            </w:r>
          </w:p>
        </w:tc>
        <w:tc>
          <w:tcPr>
            <w:tcW w:type="dxa" w:w="6480"/>
            <w:tcBorders>
              <w:top w:val="single" w:color="999999" w:sz="4"/>
              <w:left w:val="single" w:color="999999" w:sz="4"/>
              <w:bottom w:val="single" w:color="999999" w:sz="4"/>
              <w:right w:val="single" w:color="999999" w:sz="4"/>
            </w:tcBorders>
          </w:tcPr>
          <w:p>
            <w:r>
              <w:rPr>
                <w:sz w:val="20"/>
                <w:szCs w:val="20"/>
              </w:rPr>
              <w:t xml:space="preserve">12基</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備考</w:t>
            </w:r>
          </w:p>
        </w:tc>
        <w:tc>
          <w:tcPr>
            <w:tcW w:type="dxa" w:w="6480"/>
            <w:tcBorders>
              <w:top w:val="single" w:color="999999" w:sz="4"/>
              <w:left w:val="single" w:color="999999" w:sz="4"/>
              <w:bottom w:val="single" w:color="999999" w:sz="4"/>
              <w:right w:val="single" w:color="999999" w:sz="4"/>
            </w:tcBorders>
          </w:tcPr>
          <w:p>
            <w:r>
              <w:rPr>
                <w:sz w:val="20"/>
                <w:szCs w:val="20"/>
              </w:rPr>
              <w:t xml:space="preserve">Pコア・Eコアで単一スレッド性能・IPCが異なるため、コア種別の混在は測定結果のばらつき要因となる</w:t>
            </w:r>
          </w:p>
        </w:tc>
      </w:tr>
    </w:tbl>
    <w:p>
      <w:pPr>
        <w:spacing w:after="120" w:before="240"/>
      </w:pPr>
      <w:r>
        <w:rPr>
          <w:b/>
          <w:bCs/>
          <w:sz w:val="24"/>
          <w:szCs w:val="24"/>
        </w:rPr>
        <w:t xml:space="preserve">3．先行研究における条件統一の考え方</w:t>
      </w:r>
    </w:p>
    <w:p>
      <w:pPr>
        <w:spacing w:after="80" w:before="180"/>
      </w:pPr>
      <w:r>
        <w:rPr>
          <w:b/>
          <w:bCs/>
          <w:sz w:val="20"/>
          <w:szCs w:val="20"/>
        </w:rPr>
        <w:t xml:space="preserve">3-1．Felter et al.（2015）</w:t>
      </w:r>
    </w:p>
    <w:p>
      <w:pPr>
        <w:spacing w:after="60" w:before="60"/>
      </w:pPr>
      <w:r>
        <w:rPr>
          <w:sz w:val="20"/>
          <w:szCs w:val="20"/>
        </w:rPr>
        <w:t xml:space="preserve">KVMを代表的なハイパーバイザー、Dockerを代表的なコンテナ管理ツールとして用い、CPU・メモリ・ストレージ・ネットワークに負荷をかけるベンチマーク一式で性能を比較した研究［1］。同一の物理ホスト・同一カーネル上でVMとコンテナを構築し、VMのvCPU数とコンテナのCPU割り当て（cgroup制限）を物理コア数に対して揃えるという考え方で条件を統一している。</w:t>
      </w:r>
    </w:p>
    <w:p>
      <w:pPr>
        <w:spacing w:after="80" w:before="180"/>
      </w:pPr>
      <w:r>
        <w:rPr>
          <w:b/>
          <w:bCs/>
          <w:sz w:val="20"/>
          <w:szCs w:val="20"/>
        </w:rPr>
        <w:t xml:space="preserve">3-2．Aqasizade, Ataie, Bastam（2024）</w:t>
      </w:r>
    </w:p>
    <w:p>
      <w:pPr>
        <w:spacing w:after="60" w:before="60"/>
      </w:pPr>
      <w:r>
        <w:rPr>
          <w:sz w:val="20"/>
          <w:szCs w:val="20"/>
        </w:rPr>
        <w:t xml:space="preserve">VM単体・コンテナ単体・VM上コンテナを比較した研究［2］。単一の同一ハードウェア（同一CPU・同一メモリ量・同一ディスク・同一NIC）かつ同一ホストOS上で全ての測定を行い、「一貫した測定を行うため、すべての仮想マシンに利用可能な最大リソースを割り当てる」という方針でVM・コンテナ間のリソース割り当てを統一している。</w:t>
      </w:r>
    </w:p>
    <w:p>
      <w:pPr>
        <w:spacing w:after="80" w:before="180"/>
      </w:pPr>
      <w:r>
        <w:rPr>
          <w:b/>
          <w:bCs/>
          <w:sz w:val="20"/>
          <w:szCs w:val="20"/>
        </w:rPr>
        <w:t xml:space="preserve">3-3．Benchmarking and Performance Evaluations on Various Configurations of Virtual Machine and Containers for Cloud-Based Scientific Workloads（MDPI, 2021）</w:t>
      </w:r>
    </w:p>
    <w:p>
      <w:pPr>
        <w:spacing w:after="60" w:before="60"/>
      </w:pPr>
      <w:r>
        <w:rPr>
          <w:sz w:val="20"/>
          <w:szCs w:val="20"/>
        </w:rPr>
        <w:t xml:space="preserve">VM・コンテナの性能や効率に影響する要因として、ハイパースレッディング（HT）の有無、vCPUコアの選び方、vCPUアフィニティ（CPUピニング）、vCPUの分離（isolation）の4点を挙げ、それぞれの効果を個別に検証した研究［3］。「条件を揃える」だけでなく「条件を変えて要因を切り分ける」という設計の参考になる。</w:t>
      </w:r>
    </w:p>
    <w:p>
      <w:pPr>
        <w:spacing w:after="120" w:before="240"/>
      </w:pPr>
      <w:r>
        <w:rPr>
          <w:b/>
          <w:bCs/>
          <w:sz w:val="24"/>
          <w:szCs w:val="24"/>
        </w:rPr>
        <w:t xml:space="preserve">4．本実験におけるCPU割り当て方針</w:t>
      </w:r>
    </w:p>
    <w:p>
      <w:pPr>
        <w:spacing w:after="80" w:before="180"/>
      </w:pPr>
      <w:r>
        <w:rPr>
          <w:b/>
          <w:bCs/>
          <w:sz w:val="20"/>
          <w:szCs w:val="20"/>
        </w:rPr>
        <w:t xml:space="preserve">4-1．Pコアに限定する方針</w:t>
      </w:r>
    </w:p>
    <w:p>
      <w:pPr>
        <w:spacing w:after="60" w:before="60"/>
      </w:pPr>
      <w:r>
        <w:rPr>
          <w:sz w:val="20"/>
          <w:szCs w:val="20"/>
        </w:rPr>
        <w:t xml:space="preserve">上記の先行研究の比較手法は、いずれも物理コアの性能が均質であることを前提としている。PコアとEコアが混在した状態でVM・コンテナにコアを割り当てると、スケジューラがどちらのコア種別を選ぶかによって結果が変動し、「仮想化方式による差」なのか「コア種別による差」なのかを切り分けられなくなる。そこで、環境A〜Dの標準条件下での比較（本計画書「実験計画書～全体の流れ～」の4章に対応）では、Pコアのみを使用することとする。</w:t>
      </w:r>
    </w:p>
    <w:p>
      <w:pPr>
        <w:spacing w:after="80" w:before="180"/>
      </w:pPr>
      <w:r>
        <w:rPr>
          <w:b/>
          <w:bCs/>
          <w:sz w:val="20"/>
          <w:szCs w:val="20"/>
        </w:rPr>
        <w:t xml:space="preserve">4-2．実験用コア数</w:t>
      </w:r>
    </w:p>
    <w:p>
      <w:pPr>
        <w:spacing w:after="60" w:before="60"/>
      </w:pPr>
      <w:r>
        <w:rPr>
          <w:sz w:val="20"/>
          <w:szCs w:val="20"/>
        </w:rPr>
        <w:t xml:space="preserve">Pコア8基のうち、1〜2基をホストOS管理（SSH接続、監視、ロギング等）用に残し、残りのうち4基を「実験用コア」として固定する。4という数はSysBenchのデフォルトスレッド数（--threads=4）と揃えることで、既存の測定手順・実験計画書との整合性を保つ。</w:t>
      </w:r>
    </w:p>
    <w:p>
      <w:pPr>
        <w:spacing w:after="80" w:before="180"/>
      </w:pPr>
      <w:r>
        <w:rPr>
          <w:b/>
          <w:bCs/>
          <w:sz w:val="20"/>
          <w:szCs w:val="20"/>
        </w:rPr>
        <w:t xml:space="preserve">4-3．コアIDの確認方法</w:t>
      </w:r>
    </w:p>
    <w:p>
      <w:pPr>
        <w:spacing w:after="60" w:before="60"/>
      </w:pPr>
      <w:r>
        <w:rPr>
          <w:sz w:val="20"/>
          <w:szCs w:val="20"/>
        </w:rPr>
        <w:t xml:space="preserve">Pコア・Eコアの物理コア番号を、以下のコマンドで確認する。</w:t>
      </w:r>
    </w:p>
    <w:p>
      <w:pPr>
        <w:spacing w:after="40" w:before="40"/>
        <w:ind w:left="240"/>
      </w:pPr>
      <w:r>
        <w:rPr>
          <w:rFonts w:ascii="Consolas" w:cs="Consolas" w:eastAsia="Consolas" w:hAnsi="Consolas"/>
          <w:sz w:val="20"/>
          <w:szCs w:val="20"/>
        </w:rPr>
        <w:t xml:space="preserve">cat /sys/devices/cpu_core/cpus   # Pコアのコア番号一覧</w:t>
      </w:r>
    </w:p>
    <w:p>
      <w:pPr>
        <w:spacing w:after="40" w:before="40"/>
        <w:ind w:left="240"/>
      </w:pPr>
      <w:r>
        <w:rPr>
          <w:rFonts w:ascii="Consolas" w:cs="Consolas" w:eastAsia="Consolas" w:hAnsi="Consolas"/>
          <w:sz w:val="20"/>
          <w:szCs w:val="20"/>
        </w:rPr>
        <w:t xml:space="preserve">cat /sys/devices/cpu_atom/cpus   # Eコアのコア番号一覧</w:t>
      </w:r>
    </w:p>
    <w:p>
      <w:pPr>
        <w:spacing w:after="40" w:before="40"/>
        <w:ind w:left="240"/>
      </w:pPr>
      <w:r>
        <w:rPr>
          <w:rFonts w:ascii="Consolas" w:cs="Consolas" w:eastAsia="Consolas" w:hAnsi="Consolas"/>
          <w:sz w:val="20"/>
          <w:szCs w:val="20"/>
        </w:rPr>
        <w:t xml:space="preserve">lscpu -e                          # 全体のトポロジ確認</w:t>
      </w:r>
    </w:p>
    <w:p>
      <w:pPr>
        <w:spacing w:after="60" w:before="60"/>
      </w:pPr>
      <w:r>
        <w:rPr>
          <w:sz w:val="20"/>
          <w:szCs w:val="20"/>
        </w:rPr>
        <w:t xml:space="preserve">確認したPコアの番号のうち4つ（例：0,2,4,6）を実験用コアとして以降の設定に用いる。</w:t>
      </w:r>
    </w:p>
    <w:p>
      <w:pPr>
        <w:spacing w:after="80" w:before="180"/>
      </w:pPr>
      <w:r>
        <w:rPr>
          <w:b/>
          <w:bCs/>
          <w:sz w:val="20"/>
          <w:szCs w:val="20"/>
        </w:rPr>
        <w:t xml:space="preserve">4-4．環境ごとの設定方法</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700"/>
        <w:gridCol w:w="7780"/>
      </w:tblGrid>
      <w:tr>
        <w:tc>
          <w:tcPr>
            <w:tcW w:type="dxa" w:w="1700"/>
            <w:tcBorders>
              <w:top w:val="single" w:color="999999" w:sz="4"/>
              <w:left w:val="single" w:color="999999" w:sz="4"/>
              <w:bottom w:val="single" w:color="999999" w:sz="4"/>
              <w:right w:val="single" w:color="999999" w:sz="4"/>
            </w:tcBorders>
            <w:shd w:fill="E7E6E6" w:color="auto" w:val="clear"/>
          </w:tcPr>
          <w:p>
            <w:r>
              <w:rPr>
                <w:b/>
                <w:bCs/>
                <w:sz w:val="20"/>
                <w:szCs w:val="20"/>
              </w:rPr>
              <w:t xml:space="preserve">環境</w:t>
            </w:r>
          </w:p>
        </w:tc>
        <w:tc>
          <w:tcPr>
            <w:tcW w:type="dxa" w:w="7780"/>
            <w:tcBorders>
              <w:top w:val="single" w:color="999999" w:sz="4"/>
              <w:left w:val="single" w:color="999999" w:sz="4"/>
              <w:bottom w:val="single" w:color="999999" w:sz="4"/>
              <w:right w:val="single" w:color="999999" w:sz="4"/>
            </w:tcBorders>
            <w:shd w:fill="E7E6E6" w:color="auto" w:val="clear"/>
          </w:tcPr>
          <w:p>
            <w:r>
              <w:rPr>
                <w:b/>
                <w:bCs/>
                <w:sz w:val="20"/>
                <w:szCs w:val="20"/>
              </w:rPr>
              <w:t xml:space="preserve">設定コマンド例</w:t>
            </w:r>
          </w:p>
        </w:tc>
      </w:tr>
      <w:tr>
        <w:tc>
          <w:tcPr>
            <w:tcW w:type="dxa" w:w="1700"/>
            <w:tcBorders>
              <w:top w:val="single" w:color="999999" w:sz="4"/>
              <w:left w:val="single" w:color="999999" w:sz="4"/>
              <w:bottom w:val="single" w:color="999999" w:sz="4"/>
              <w:right w:val="single" w:color="999999" w:sz="4"/>
            </w:tcBorders>
          </w:tcPr>
          <w:p>
            <w:r>
              <w:rPr>
                <w:sz w:val="20"/>
                <w:szCs w:val="20"/>
              </w:rPr>
              <w:t xml:space="preserve">環境A（ホストOS）</w:t>
            </w:r>
          </w:p>
        </w:tc>
        <w:tc>
          <w:tcPr>
            <w:tcW w:type="dxa" w:w="7780"/>
            <w:tcBorders>
              <w:top w:val="single" w:color="999999" w:sz="4"/>
              <w:left w:val="single" w:color="999999" w:sz="4"/>
              <w:bottom w:val="single" w:color="999999" w:sz="4"/>
              <w:right w:val="single" w:color="999999" w:sz="4"/>
            </w:tcBorders>
          </w:tcPr>
          <w:p>
            <w:r>
              <w:rPr>
                <w:sz w:val="20"/>
                <w:szCs w:val="20"/>
              </w:rPr>
              <w:t xml:space="preserve">taskset -c 0,2,4,6 sysbench cpu ...</w:t>
            </w:r>
          </w:p>
        </w:tc>
      </w:tr>
      <w:tr>
        <w:tc>
          <w:tcPr>
            <w:tcW w:type="dxa" w:w="1700"/>
            <w:tcBorders>
              <w:top w:val="single" w:color="999999" w:sz="4"/>
              <w:left w:val="single" w:color="999999" w:sz="4"/>
              <w:bottom w:val="single" w:color="999999" w:sz="4"/>
              <w:right w:val="single" w:color="999999" w:sz="4"/>
            </w:tcBorders>
          </w:tcPr>
          <w:p>
            <w:r>
              <w:rPr>
                <w:sz w:val="20"/>
                <w:szCs w:val="20"/>
              </w:rPr>
              <w:t xml:space="preserve">環境B（VM単体）</w:t>
            </w:r>
          </w:p>
        </w:tc>
        <w:tc>
          <w:tcPr>
            <w:tcW w:type="dxa" w:w="7780"/>
            <w:tcBorders>
              <w:top w:val="single" w:color="999999" w:sz="4"/>
              <w:left w:val="single" w:color="999999" w:sz="4"/>
              <w:bottom w:val="single" w:color="999999" w:sz="4"/>
              <w:right w:val="single" w:color="999999" w:sz="4"/>
            </w:tcBorders>
          </w:tcPr>
          <w:p>
            <w:r>
              <w:rPr>
                <w:sz w:val="20"/>
                <w:szCs w:val="20"/>
              </w:rPr>
              <w:t xml:space="preserve">virt-install --vcpus 4 ... の後、virsh vcpupin ubuntu-vm 0 0 ／ vcpupin ubuntu-vm 1 2 ／ vcpupin ubuntu-vm 2 4 ／ vcpupin ubuntu-vm 3 6 で物理Pコアへピン留め</w:t>
            </w:r>
          </w:p>
        </w:tc>
      </w:tr>
      <w:tr>
        <w:tc>
          <w:tcPr>
            <w:tcW w:type="dxa" w:w="1700"/>
            <w:tcBorders>
              <w:top w:val="single" w:color="999999" w:sz="4"/>
              <w:left w:val="single" w:color="999999" w:sz="4"/>
              <w:bottom w:val="single" w:color="999999" w:sz="4"/>
              <w:right w:val="single" w:color="999999" w:sz="4"/>
            </w:tcBorders>
          </w:tcPr>
          <w:p>
            <w:r>
              <w:rPr>
                <w:sz w:val="20"/>
                <w:szCs w:val="20"/>
              </w:rPr>
              <w:t xml:space="preserve">環境C（Docker単体）</w:t>
            </w:r>
          </w:p>
        </w:tc>
        <w:tc>
          <w:tcPr>
            <w:tcW w:type="dxa" w:w="7780"/>
            <w:tcBorders>
              <w:top w:val="single" w:color="999999" w:sz="4"/>
              <w:left w:val="single" w:color="999999" w:sz="4"/>
              <w:bottom w:val="single" w:color="999999" w:sz="4"/>
              <w:right w:val="single" w:color="999999" w:sz="4"/>
            </w:tcBorders>
          </w:tcPr>
          <w:p>
            <w:r>
              <w:rPr>
                <w:sz w:val="20"/>
                <w:szCs w:val="20"/>
              </w:rPr>
              <w:t xml:space="preserve">docker run --cpuset-cpus="0,2,4,6" ...</w:t>
            </w:r>
          </w:p>
        </w:tc>
      </w:tr>
      <w:tr>
        <w:tc>
          <w:tcPr>
            <w:tcW w:type="dxa" w:w="1700"/>
            <w:tcBorders>
              <w:top w:val="single" w:color="999999" w:sz="4"/>
              <w:left w:val="single" w:color="999999" w:sz="4"/>
              <w:bottom w:val="single" w:color="999999" w:sz="4"/>
              <w:right w:val="single" w:color="999999" w:sz="4"/>
            </w:tcBorders>
          </w:tcPr>
          <w:p>
            <w:r>
              <w:rPr>
                <w:sz w:val="20"/>
                <w:szCs w:val="20"/>
              </w:rPr>
              <w:t xml:space="preserve">環境D（VM上Docker）</w:t>
            </w:r>
          </w:p>
        </w:tc>
        <w:tc>
          <w:tcPr>
            <w:tcW w:type="dxa" w:w="7780"/>
            <w:tcBorders>
              <w:top w:val="single" w:color="999999" w:sz="4"/>
              <w:left w:val="single" w:color="999999" w:sz="4"/>
              <w:bottom w:val="single" w:color="999999" w:sz="4"/>
              <w:right w:val="single" w:color="999999" w:sz="4"/>
            </w:tcBorders>
          </w:tcPr>
          <w:p>
            <w:r>
              <w:rPr>
                <w:sz w:val="20"/>
                <w:szCs w:val="20"/>
              </w:rPr>
              <w:t xml:space="preserve">VM自体を環境Bと同様にPコアへピン留めした上で、VM内のDockerコンテナも --cpuset-cpus="0,2,4,6" 相当の設定で対応コアに固定</w:t>
            </w:r>
          </w:p>
        </w:tc>
      </w:tr>
    </w:tbl>
    <w:p>
      <w:pPr>
        <w:spacing w:after="120" w:before="240"/>
      </w:pPr>
      <w:r>
        <w:rPr>
          <w:b/>
          <w:bCs/>
          <w:sz w:val="24"/>
          <w:szCs w:val="24"/>
        </w:rPr>
        <w:t xml:space="preserve">5．追加検証：コア種別（アフィニティ）による影響の検証</w:t>
      </w:r>
    </w:p>
    <w:p>
      <w:pPr>
        <w:spacing w:after="60" w:before="60"/>
      </w:pPr>
      <w:r>
        <w:rPr>
          <w:sz w:val="20"/>
          <w:szCs w:val="20"/>
        </w:rPr>
        <w:t xml:space="preserve">「実験計画書～全体の流れ～」6章の「実験条件の変更」に対応する検証として、コア種別の違いが性能に与える影響そのものを独立した検証項目として設ける。実験用コア数（4基）は固定したまま、割り当てるコアの種別のみを条件として変化させる。</w:t>
      </w:r>
    </w:p>
    <w:p>
      <w:pPr>
        <w:spacing w:after="40" w:before="40"/>
        <w:ind w:left="360"/>
      </w:pPr>
      <w:r>
        <w:rPr>
          <w:sz w:val="20"/>
          <w:szCs w:val="20"/>
        </w:rPr>
        <w:t xml:space="preserve">・条件1：Pコアのみ4基にピン留め</w:t>
      </w:r>
    </w:p>
    <w:p>
      <w:pPr>
        <w:spacing w:after="40" w:before="40"/>
        <w:ind w:left="360"/>
      </w:pPr>
      <w:r>
        <w:rPr>
          <w:sz w:val="20"/>
          <w:szCs w:val="20"/>
        </w:rPr>
        <w:t xml:space="preserve">・条件2：Eコアのみ4基にピン留め</w:t>
      </w:r>
    </w:p>
    <w:p>
      <w:pPr>
        <w:spacing w:after="40" w:before="40"/>
        <w:ind w:left="360"/>
      </w:pPr>
      <w:r>
        <w:rPr>
          <w:sz w:val="20"/>
          <w:szCs w:val="20"/>
        </w:rPr>
        <w:t xml:space="preserve">・条件3：ピン留めなし（OSのスケジューラ任せ、P／E混在）</w:t>
      </w:r>
    </w:p>
    <w:p>
      <w:pPr>
        <w:spacing w:after="60" w:before="60"/>
      </w:pPr>
      <w:r>
        <w:rPr>
          <w:sz w:val="20"/>
          <w:szCs w:val="20"/>
        </w:rPr>
        <w:t xml:space="preserve">この3条件を環境A〜Dそれぞれで測定することで、「同一条件の担保」の妥当性そのものを検証データとして示すとともに、二重仮想化構成における性能差の要因切り分けに資する。</w:t>
      </w:r>
    </w:p>
    <w:p>
      <w:pPr>
        <w:spacing w:after="120" w:before="240"/>
      </w:pPr>
      <w:r>
        <w:rPr>
          <w:b/>
          <w:bCs/>
          <w:sz w:val="24"/>
          <w:szCs w:val="24"/>
        </w:rPr>
        <w:t xml:space="preserve">6．測定条件のまとめ</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000"/>
        <w:gridCol w:w="6480"/>
      </w:tblGrid>
      <w:tr>
        <w:tc>
          <w:tcPr>
            <w:tcW w:type="dxa" w:w="3000"/>
            <w:tcBorders>
              <w:top w:val="single" w:color="999999" w:sz="4"/>
              <w:left w:val="single" w:color="999999" w:sz="4"/>
              <w:bottom w:val="single" w:color="999999" w:sz="4"/>
              <w:right w:val="single" w:color="999999" w:sz="4"/>
            </w:tcBorders>
            <w:shd w:fill="E7E6E6" w:color="auto" w:val="clear"/>
          </w:tcPr>
          <w:p>
            <w:r>
              <w:rPr>
                <w:b/>
                <w:bCs/>
                <w:sz w:val="20"/>
                <w:szCs w:val="20"/>
              </w:rPr>
              <w:t xml:space="preserve">項目</w:t>
            </w:r>
          </w:p>
        </w:tc>
        <w:tc>
          <w:tcPr>
            <w:tcW w:type="dxa" w:w="6480"/>
            <w:tcBorders>
              <w:top w:val="single" w:color="999999" w:sz="4"/>
              <w:left w:val="single" w:color="999999" w:sz="4"/>
              <w:bottom w:val="single" w:color="999999" w:sz="4"/>
              <w:right w:val="single" w:color="999999" w:sz="4"/>
            </w:tcBorders>
            <w:shd w:fill="E7E6E6" w:color="auto" w:val="clear"/>
          </w:tcPr>
          <w:p>
            <w:r>
              <w:rPr>
                <w:b/>
                <w:bCs/>
                <w:sz w:val="20"/>
                <w:szCs w:val="20"/>
              </w:rPr>
              <w:t xml:space="preserve">統一条件</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ホストOS／カーネル</w:t>
            </w:r>
          </w:p>
        </w:tc>
        <w:tc>
          <w:tcPr>
            <w:tcW w:type="dxa" w:w="6480"/>
            <w:tcBorders>
              <w:top w:val="single" w:color="999999" w:sz="4"/>
              <w:left w:val="single" w:color="999999" w:sz="4"/>
              <w:bottom w:val="single" w:color="999999" w:sz="4"/>
              <w:right w:val="single" w:color="999999" w:sz="4"/>
            </w:tcBorders>
          </w:tcPr>
          <w:p>
            <w:r>
              <w:rPr>
                <w:sz w:val="20"/>
                <w:szCs w:val="20"/>
              </w:rPr>
              <w:t xml:space="preserve">全環境で同一（Ubuntu Server 26.04 LTS）</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使用コア種別</w:t>
            </w:r>
          </w:p>
        </w:tc>
        <w:tc>
          <w:tcPr>
            <w:tcW w:type="dxa" w:w="6480"/>
            <w:tcBorders>
              <w:top w:val="single" w:color="999999" w:sz="4"/>
              <w:left w:val="single" w:color="999999" w:sz="4"/>
              <w:bottom w:val="single" w:color="999999" w:sz="4"/>
              <w:right w:val="single" w:color="999999" w:sz="4"/>
            </w:tcBorders>
          </w:tcPr>
          <w:p>
            <w:r>
              <w:rPr>
                <w:sz w:val="20"/>
                <w:szCs w:val="20"/>
              </w:rPr>
              <w:t xml:space="preserve">標準条件下ではPコアのみ使用（4-1節）</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割り当てコア数</w:t>
            </w:r>
          </w:p>
        </w:tc>
        <w:tc>
          <w:tcPr>
            <w:tcW w:type="dxa" w:w="6480"/>
            <w:tcBorders>
              <w:top w:val="single" w:color="999999" w:sz="4"/>
              <w:left w:val="single" w:color="999999" w:sz="4"/>
              <w:bottom w:val="single" w:color="999999" w:sz="4"/>
              <w:right w:val="single" w:color="999999" w:sz="4"/>
            </w:tcBorders>
          </w:tcPr>
          <w:p>
            <w:r>
              <w:rPr>
                <w:sz w:val="20"/>
                <w:szCs w:val="20"/>
              </w:rPr>
              <w:t xml:space="preserve">4基（環境A〜D共通）</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コアの固定方法</w:t>
            </w:r>
          </w:p>
        </w:tc>
        <w:tc>
          <w:tcPr>
            <w:tcW w:type="dxa" w:w="6480"/>
            <w:tcBorders>
              <w:top w:val="single" w:color="999999" w:sz="4"/>
              <w:left w:val="single" w:color="999999" w:sz="4"/>
              <w:bottom w:val="single" w:color="999999" w:sz="4"/>
              <w:right w:val="single" w:color="999999" w:sz="4"/>
            </w:tcBorders>
          </w:tcPr>
          <w:p>
            <w:r>
              <w:rPr>
                <w:sz w:val="20"/>
                <w:szCs w:val="20"/>
              </w:rPr>
              <w:t xml:space="preserve">taskset／virsh vcpupin／--cpuset-cpus により物理コアIDを明示的に固定</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メモリ割り当て</w:t>
            </w:r>
          </w:p>
        </w:tc>
        <w:tc>
          <w:tcPr>
            <w:tcW w:type="dxa" w:w="6480"/>
            <w:tcBorders>
              <w:top w:val="single" w:color="999999" w:sz="4"/>
              <w:left w:val="single" w:color="999999" w:sz="4"/>
              <w:bottom w:val="single" w:color="999999" w:sz="4"/>
              <w:right w:val="single" w:color="999999" w:sz="4"/>
            </w:tcBorders>
          </w:tcPr>
          <w:p>
            <w:r>
              <w:rPr>
                <w:sz w:val="20"/>
                <w:szCs w:val="20"/>
              </w:rPr>
              <w:t xml:space="preserve">VMのRAM割り当てとDockerの--memoryを環境間で統一</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電源／周波数管理</w:t>
            </w:r>
          </w:p>
        </w:tc>
        <w:tc>
          <w:tcPr>
            <w:tcW w:type="dxa" w:w="6480"/>
            <w:tcBorders>
              <w:top w:val="single" w:color="999999" w:sz="4"/>
              <w:left w:val="single" w:color="999999" w:sz="4"/>
              <w:bottom w:val="single" w:color="999999" w:sz="4"/>
              <w:right w:val="single" w:color="999999" w:sz="4"/>
            </w:tcBorders>
          </w:tcPr>
          <w:p>
            <w:r>
              <w:rPr>
                <w:sz w:val="20"/>
                <w:szCs w:val="20"/>
              </w:rPr>
              <w:t xml:space="preserve">CPUガバナーをperformanceに固定、Turbo Boostは各環境で同一設定</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測定回数</w:t>
            </w:r>
          </w:p>
        </w:tc>
        <w:tc>
          <w:tcPr>
            <w:tcW w:type="dxa" w:w="6480"/>
            <w:tcBorders>
              <w:top w:val="single" w:color="999999" w:sz="4"/>
              <w:left w:val="single" w:color="999999" w:sz="4"/>
              <w:bottom w:val="single" w:color="999999" w:sz="4"/>
              <w:right w:val="single" w:color="999999" w:sz="4"/>
            </w:tcBorders>
          </w:tcPr>
          <w:p>
            <w:r>
              <w:rPr>
                <w:sz w:val="20"/>
                <w:szCs w:val="20"/>
              </w:rPr>
              <w:t xml:space="preserve">同一条件下で10回実施し、中央値を採用</w:t>
            </w:r>
          </w:p>
        </w:tc>
      </w:tr>
      <w:tr>
        <w:tc>
          <w:tcPr>
            <w:tcW w:type="dxa" w:w="3000"/>
            <w:tcBorders>
              <w:top w:val="single" w:color="999999" w:sz="4"/>
              <w:left w:val="single" w:color="999999" w:sz="4"/>
              <w:bottom w:val="single" w:color="999999" w:sz="4"/>
              <w:right w:val="single" w:color="999999" w:sz="4"/>
            </w:tcBorders>
          </w:tcPr>
          <w:p>
            <w:r>
              <w:rPr>
                <w:sz w:val="20"/>
                <w:szCs w:val="20"/>
              </w:rPr>
              <w:t xml:space="preserve">実行状態</w:t>
            </w:r>
          </w:p>
        </w:tc>
        <w:tc>
          <w:tcPr>
            <w:tcW w:type="dxa" w:w="6480"/>
            <w:tcBorders>
              <w:top w:val="single" w:color="999999" w:sz="4"/>
              <w:left w:val="single" w:color="999999" w:sz="4"/>
              <w:bottom w:val="single" w:color="999999" w:sz="4"/>
              <w:right w:val="single" w:color="999999" w:sz="4"/>
            </w:tcBorders>
          </w:tcPr>
          <w:p>
            <w:r>
              <w:rPr>
                <w:sz w:val="20"/>
                <w:szCs w:val="20"/>
              </w:rPr>
              <w:t xml:space="preserve">ベンチマーク実行中は対象環境以外のVM／コンテナ／プロセスを停止し、単独実行とする</w:t>
            </w:r>
          </w:p>
        </w:tc>
      </w:tr>
    </w:tbl>
    <w:p>
      <w:pPr>
        <w:spacing w:after="120" w:before="240"/>
      </w:pPr>
      <w:r>
        <w:rPr>
          <w:b/>
          <w:bCs/>
          <w:sz w:val="24"/>
          <w:szCs w:val="24"/>
        </w:rPr>
        <w:t xml:space="preserve">参考文献</w:t>
      </w:r>
    </w:p>
    <w:p>
      <w:pPr>
        <w:spacing w:after="60" w:before="60"/>
        <w:ind w:left="240" w:hanging="240"/>
      </w:pPr>
      <w:r>
        <w:rPr>
          <w:sz w:val="20"/>
          <w:szCs w:val="20"/>
        </w:rPr>
        <w:t xml:space="preserve">［1］W. Felter, A. Ferreira, R. Rajamony, J. Rubio, "An Updated Performance Comparison of Virtual Machines and Linux Containers," 2015 IEEE International Symposium on Performance Analysis of Systems and Software (ISPASS), pp. 171-172 (2015).</w:t>
      </w:r>
    </w:p>
    <w:p>
      <w:pPr>
        <w:spacing w:after="60" w:before="60"/>
        <w:ind w:left="240" w:hanging="240"/>
      </w:pPr>
      <w:r>
        <w:rPr>
          <w:sz w:val="20"/>
          <w:szCs w:val="20"/>
        </w:rPr>
        <w:t xml:space="preserve">［2］H. Aqasizade, E. Ataie, M. Bastam, "Experimental Assessment of Containers Running on Top of Virtual Machines," arXiv:2401.07539 (2024).</w:t>
      </w:r>
    </w:p>
    <w:p>
      <w:pPr>
        <w:spacing w:after="60" w:before="60"/>
        <w:ind w:left="240" w:hanging="240"/>
      </w:pPr>
      <w:r>
        <w:rPr>
          <w:sz w:val="20"/>
          <w:szCs w:val="20"/>
        </w:rPr>
        <w:t xml:space="preserve">［3］"Benchmarking and Performance Evaluations on Various Configurations of Virtual Machine and Containers for Cloud-Based Scientific Workloads," Applied Sciences, Vol. 11, No. 3, Article 993 (2021).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2026-07-10T07:02:24.009Z</dcterms:created>
  <dcterms:modified xsi:type="dcterms:W3CDTF">2026-07-10T07:02:24.027Z</dcterms:modified>
</cp:coreProperties>
</file>

<file path=docProps/custom.xml><?xml version="1.0" encoding="utf-8"?>
<Properties xmlns="http://schemas.openxmlformats.org/officeDocument/2006/custom-properties" xmlns:vt="http://schemas.openxmlformats.org/officeDocument/2006/docPropsVTypes"/>
</file>