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2A4A"/>
          <w:sz w:val="56"/>
          <w:szCs w:val="56"/>
        </w:rPr>
        <w:t xml:space="preserve">MERIDIAN</w:t>
      </w:r>
    </w:p>
    <w:p>
      <w:pPr>
        <w:pBdr>
          <w:bottom w:val="single" w:color="C9A227" w:sz="8" w:space="4"/>
        </w:pBdr>
        <w:spacing w:after="400"/>
      </w:pPr>
      <w:r>
        <w:rPr>
          <w:color w:val="555555"/>
          <w:sz w:val="28"/>
          <w:szCs w:val="28"/>
        </w:rPr>
        <w:t xml:space="preserve">UHNW Investor Marketing Strategy — Reaching the $100M+ Real Estate Investor</w:t>
      </w:r>
    </w:p>
    <w:p>
      <w:pPr>
        <w:spacing w:after="160"/>
      </w:pPr>
      <w:r>
        <w:rPr>
          <w:i/>
          <w:iCs/>
          <w:color w:val="777777"/>
        </w:rPr>
        <w:t xml:space="preserve">Prepared July 2026 · Dual objective: acquire ultra-high-net-worth users for the platform and cultivate them as prospective strategic investors in Meridian itself.</w:t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Meridian is positioned at the intersection of two powerful trends: the Dominican Republic has become the Caribbean's leading real estate investment destination, and ultra-high-net-worth individuals (UHNWIs) are systematically increasing allocations to Caribbean property. Direct foreign investment in DR real estate reached roughly $4.8 billion in 2025, the luxury segment is projected to grow 8–10% annually, and family offices hold about 18% of their portfolios in real estate. Yet no digital platform owns the trusted, data-rich, bilingual gateway to DR luxury property. Meridian's opportunity is to become that gateway — and the same UHNW relationships that make Meridian's marketplace liquid can later become its strategic capital.</w:t>
      </w:r>
    </w:p>
    <w:p>
      <w:pPr>
        <w:spacing w:after="160"/>
      </w:pPr>
      <w:r>
        <w:t xml:space="preserve">The core insight for this audience: investors worth $100M+ are not reached by advertising; they are reached through trust networks — their family-office staff, brokers, advisors, peers, and the places they already gather. This plan therefore prioritizes authority content, warm-network channels, strategic partnerships with DR's anchor developments (Casa de Campo, Cap Cana, Puntacana Resort), and a white-glove product tier, over paid media.</w:t>
      </w:r>
    </w:p>
    <w:p>
      <w:pPr>
        <w:pStyle w:val="Heading1"/>
      </w:pPr>
      <w:r>
        <w:t xml:space="preserve">2. Market Opportunity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 real estate FDI: ~$4.8B in 2025; the U.S. accounts for ~33% of inflows, Spain ~14%.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Luxury segment growth projected at 8–10% annually; Punta Cana price appreciation 6–8%/yr; gross rental yields 7%+ nationally, 8–10% in prime zones.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Cap Cana ultra-luxury inventory: $600K–$3M+; Casa de Campo villas positioned as the 'Hamptons of the Caribbean'.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Tourism heading to ~12.5M visitors in 2026, 42 new direct flights, and a $1.5B Punta Cana cruise port opening 2026 — demand-side infrastructure UHNW investors look for.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CONFOTUR (Law 158-01): 15-year exemption from income tax and property tax (IPI) plus waived 3% transfer tax on approved projects — an institutional-grade incentive most foreign UHNWIs have never heard explained clearly.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Residency fast-track from US$200K property investment; foreign buyers hold identical property rights to citizens, with guaranteed capital repatriation under Law 16-95.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Caribbean-wide: 40+ branded-residence projects; branded product earns 20–35% price premiums with 5–8% yields — the exact product profile UHNW family offices are buying.</w:t>
      </w:r>
    </w:p>
    <w:p>
      <w:pPr>
        <w:pStyle w:val="Heading1"/>
      </w:pPr>
      <w:r>
        <w:t xml:space="preserve">3. The Target: Who a $100M+ Real Estate Investor Actually Is</w:t>
      </w:r>
    </w:p>
    <w:p>
      <w:pPr>
        <w:spacing w:after="160"/>
      </w:pPr>
      <w:r>
        <w:t xml:space="preserve">The '$100M+ investor' is not one persona. Meridian should segment into four, each with different motives and different doors: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3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Reach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Family offices (SFO/MFO) with real-asset mandates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Yield + diversification + inflation hedge; 18% avg. RE allocation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Investment directors and CIOs — conferences, data reports, placement networks; never cold-email the principal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Entrepreneur/celebrity lifestyle buyers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Trophy home + privacy + status; rental offset is a bonus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Luxury brokers, private aviation, resort networks, peer referral (Casa de Campo/Cap Cana members)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 &amp; LatAm dynastic families (Vicini, León, Corripio, Cisneros)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Home-market advantage; national-champion pride; strategic stakes in DR digital infrastructure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Santo Domingo/Miami business networks; direct BD; these are also Meridian's most natural strategic investors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Institutional-style hospitality investors (Dart, Gencom, Mohari profile)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Branded residences, resort platforms, marina assets at scale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ALIS, CHICOS, ILTM; deal-level conversations, not marketing</w:t>
            </w:r>
          </w:p>
        </w:tc>
      </w:tr>
    </w:tbl>
    <w:p>
      <w:pPr>
        <w:pStyle w:val="Heading1"/>
      </w:pPr>
      <w:r>
        <w:t xml:space="preserve">4. Positioning &amp; Messaging</w:t>
      </w:r>
    </w:p>
    <w:p>
      <w:pPr>
        <w:pStyle w:val="Heading2"/>
      </w:pPr>
      <w:r>
        <w:t xml:space="preserve">Positioning statement</w:t>
      </w:r>
    </w:p>
    <w:p>
      <w:pPr>
        <w:spacing w:after="160"/>
      </w:pPr>
      <w:r>
        <w:t xml:space="preserve">Meridian is the private gateway to Dominican Republic luxury real estate — institutional-grade data, verified inventory, and bilingual white-glove service for the world's most discerning investors.</w:t>
      </w:r>
    </w:p>
    <w:p>
      <w:pPr>
        <w:pStyle w:val="Heading2"/>
      </w:pPr>
      <w:r>
        <w:t xml:space="preserve">Message architecture (lead with numbers, close with lifestyle)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“The Caribbean's #1 investment market, quantified.” — 8–10% luxury growth, 7%+ yields, $4.8B FDI. UHNW buyers respond to data their advisors can verify.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“15 years, zero property tax.” — Make CONFOTUR the hero. It is the DR's most under-marketed institutional advantage.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“Verified, not listed.” — Every Meridian property is title-checked and broker-verified; a direct answer to the #1 UHNW objection about emerging-market real estate (title risk).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“From the marina at Cap Cana to the fairways of Casa de Campo.” — Anchor the brand to names their peers already own 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Tone: quiet confidence. No exclamation points, no 'hot deals'. Think Knight Frank Wealth Report, not Zillow.</w:t>
      </w:r>
    </w:p>
    <w:p>
      <w:pPr>
        <w:pStyle w:val="Heading1"/>
      </w:pPr>
      <w:r>
        <w:t xml:space="preserve">5. Channel Plan (in priority order)</w:t>
      </w:r>
    </w:p>
    <w:p>
      <w:pPr>
        <w:pStyle w:val="Heading2"/>
      </w:pPr>
      <w:r>
        <w:t xml:space="preserve">Tier 1 — Trust networks (highest conversion)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Anchor partnerships: listing/co-marketing agreements with Casa de Campo Real Estate, Cap Cana S.A., and Grupo Puntacana. Their buyer lists are the exact audience; Meridian brings digital reach and bilingual UX.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Broker alliances: syndication with Christie's International RE, Sotheby's IR, and Knight Frank private-client desks already selling DR $1M+ homes.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Peer referral program: curated referral incentives inside YPO and Tiger 21 chapters (Miami, NYC, Madrid) — trust travels peer-to-peer at this wealth level.</w:t>
      </w:r>
    </w:p>
    <w:p>
      <w:pPr>
        <w:pStyle w:val="Heading2"/>
      </w:pPr>
      <w:r>
        <w:t xml:space="preserve">Tier 2 — Authority content (the UHNW magnet)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Quarterly 'Meridian DR Luxury Index' — the definitive data report on DR luxury pricing, yields, and CONFOTUR inventory. Gated PDF; distributed to family-office CIOs and wealth managers. This single asset does more than any ad campaign.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CONFOTUR explainer series (EN/ES) — own the search and AI-answer space for 'Dominican Republic tax incentives real estate'.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 placements in Mansion Global, WSJ Real Estate, Robb Report, Forbes — market-data stories, not advertorials.</w:t>
      </w:r>
    </w:p>
    <w:p>
      <w:pPr>
        <w:pStyle w:val="Heading2"/>
      </w:pPr>
      <w:r>
        <w:t xml:space="preserve">Tier 3 — Presence where wealth gathers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Conferences: CHICOS, ALIS, ILTM (exhibit or host private dinners); Art Basel Miami week private showcase — 'Own the DR' event, 2 hours from Miami.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Private aviation: FBO media at PUJ, SDQ, MIA, TEB with QR to the Private Clients page; VistaJet/NetJets partnership conversations.</w:t>
      </w:r>
    </w:p>
    <w:p>
      <w:pPr>
        <w:pStyle w:val="Heading2"/>
      </w:pPr>
      <w:r>
        <w:t xml:space="preserve">Tier 4 — Precision digital (support, not lead)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LinkedIn ABM targeting family-office CIOs/investment directors with the Luxury Index as the offer; $3–10K/mo.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Search on high-intent terms ('Cap Cana villa for sale', 'CONFOTUR', 'Casa de Campo real estate') — small budget, high intent.</w:t>
      </w:r>
    </w:p>
    <w:p>
      <w:pPr>
        <w:pStyle w:val="Heading1"/>
      </w:pPr>
      <w:r>
        <w:t xml:space="preserve">6. Product: The Private Clients Tier</w:t>
      </w:r>
    </w:p>
    <w:p>
      <w:pPr>
        <w:spacing w:after="160"/>
      </w:pPr>
      <w:r>
        <w:t xml:space="preserve">Marketing writes the check; product cashes it. To convert UHNW visitors, Meridian should ship a Private Clients experience: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Invitation-only tier above 'investor' role: off-market inventory, direct line to a dedicated advisor, NDA-gated data rooms per property.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Concierge stack: legal (title verification, Law 16-95 repatriation guidance), CONFOTUR eligibility check, residency-by-investment guidance, property management introductions.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Portfolio view: multi-property dashboard with yield tracking — family offices think in portfolios, not homes.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Discretion by default: no public favoriting, anonymized inquiries, Spanish/English human support.</w:t>
      </w:r>
    </w:p>
    <w:p>
      <w:pPr>
        <w:pStyle w:val="Heading1"/>
      </w:pPr>
      <w:r>
        <w:t xml:space="preserve">7. Dual-Track: Users Today, Investors Tomorrow</w:t>
      </w:r>
    </w:p>
    <w:p>
      <w:pPr>
        <w:spacing w:after="160"/>
      </w:pPr>
      <w:r>
        <w:t xml:space="preserve">Every Tier 1–2 relationship should be managed with two ledgers: platform value (listings, transactions) and strategic value (capital, distribution, credibility). The sequence matters: deliver platform value first — help a family office source or sell one property flawlessly — then, with proof in hand, open the capital conversation. DR dynastic families (Vicini/INICIA, León, Corripio) and DR-committed internationals (Cisneros) are the most natural first-check strategic investors because Meridian strengthens the market they already own.</w:t>
      </w:r>
    </w:p>
    <w:p>
      <w:pPr>
        <w:spacing w:after="160"/>
      </w:pPr>
      <w:r>
        <w:t xml:space="preserve">Practical mechanism: maintain the prospect list (see uhnw-prospect-list.xlsx) as a single pipeline with a 'strategic investor potential' flag, reviewed monthly.</w:t>
      </w:r>
    </w:p>
    <w:p>
      <w:pPr>
        <w:pStyle w:val="Heading1"/>
      </w:pPr>
      <w:r>
        <w:t xml:space="preserve">8. 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Ship Private Clients landing page (done — /private-clients); finalize positioning and bilingual copy; set up pipeline tracking from the prospect list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3–4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 Meridian DR Luxury Index v1 (use existing platform data + public sources); begin LinkedIn ABM with gated report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5–8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anchor-partnership conversations: Casa de Campo RE office, Cap Cana S.A., Grupo Puntacana; pitch broker syndication to 2 of 3 global luxury networks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9–12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Attend/host first event (CHICOS or Miami private dinner); first 10 warm introductions from DR business network; open first strategic-investor conversation off the back of a delivered platform win</w:t>
            </w:r>
          </w:p>
        </w:tc>
      </w:tr>
    </w:tbl>
    <w:p>
      <w:pPr>
        <w:pStyle w:val="Heading1"/>
      </w:pPr>
      <w:r>
        <w:t xml:space="preserve">9.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12-month 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Qualified UHNW/FO conversations opened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Anchor development partnerships signed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Clients members onboarded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Luxury Index downloads (FO/advisor emails)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$1M+ listings on platform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Strategic investor conversations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1"/>
      </w:pPr>
      <w:r>
        <w:t xml:space="preserve">10. Budget Guide (first 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 (USD)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Luxury Index production + design (quarterly)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$20–40K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Conferences &amp; private events (CHICOS, ALIS, Art Basel dinner)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$60–120K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 ABM +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$50–90K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 retainer (luxury/RE trade)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$60–100K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FBO / private-aviation media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$20–60K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indicative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$210–410K</w:t>
            </w:r>
          </w:p>
        </w:tc>
      </w:tr>
    </w:tbl>
    <w:p>
      <w:pPr>
        <w:spacing w:after="160"/>
      </w:pPr>
      <w:r>
        <w:rPr>
          <w:i/>
          <w:iCs/>
        </w:rPr>
        <w:t xml:space="preserve">Sequencing note: if budget is constrained, fund in this order — Luxury Index, anchor partnerships (near-zero cash cost), one conference, then digital.</w:t>
      </w:r>
    </w:p>
    <w:p>
      <w:pPr>
        <w:pStyle w:val="Heading1"/>
      </w:pPr>
      <w:r>
        <w:t xml:space="preserve">Appendix: Sources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Chambers Global Practice Guides — Real Estate 2026, Dominican Republic (FDI, legal framework)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TheLatinvestor / Perez Real Estate / Zoemar — DR market analyses 2026 (growth, yields, pricing)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CNBC (Mar 2026) — Family offices make opportunistic bets on real estate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Altss — The 50 Largest Family Offices in the World (2026) (allocations)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Caribbean World Magazine / brandedliving.co — UHNW Caribbean trends; branded residences premiums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InStyle Investments / DRListings / ClubProperty — CONFOTUR Law 158-01 guides (2026)</w:t>
      </w:r>
    </w:p>
    <w:p>
      <w:pPr>
        <w:spacing w:after="160"/>
      </w:pPr>
      <w:r>
        <w:rPr>
          <w:i/>
          <w:iCs/>
          <w:color w:val="777777"/>
        </w:rPr>
        <w:t xml:space="preserve">Figures are drawn from public sources current as of July 2026 and should be re-verified before use in investor-facing materials.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8"/>
        <w:szCs w:val="18"/>
      </w:rPr>
      <w:t xml:space="preserve">Meridian — Confidential</w:t>
    </w:r>
    <w:r>
      <w:rPr>
        <w:color w:val="888888"/>
        <w:sz w:val="18"/>
        <w:szCs w:val="18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C9A2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2026-07-06T01:09:31.589Z</dcterms:created>
  <dcterms:modified xsi:type="dcterms:W3CDTF">2026-07-06T01:09:31.591Z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