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 w:before="0"/>
      </w:pPr>
      <w:r>
        <w:t>Table of Contents</w:t>
      </w:r>
    </w:p>
    <w:p>
      <w:pPr>
        <w:spacing w:after="40" w:before="40"/>
        <w:ind w:left="0"/>
      </w:pPr>
      <w:hyperlink w:anchor="ADR-006__MCP_Server_for_Agentic_Data_Acc">
        <w:r>
          <w:rPr>
            <w:color w:val="0000FF"/>
            <w:u w:val="single"/>
          </w:rPr>
          <w:t>ADR-006: MCP Server for Agentic Data Access</w:t>
        </w:r>
      </w:hyperlink>
    </w:p>
    <w:p>
      <w:pPr>
        <w:spacing w:after="40" w:before="40"/>
        <w:ind w:left="360"/>
      </w:pPr>
      <w:hyperlink w:anchor="Context">
        <w:r>
          <w:rPr>
            <w:color w:val="0000FF"/>
            <w:u w:val="single"/>
          </w:rPr>
          <w:t>Context</w:t>
        </w:r>
      </w:hyperlink>
    </w:p>
    <w:p>
      <w:pPr>
        <w:spacing w:after="40" w:before="40"/>
        <w:ind w:left="360"/>
      </w:pPr>
      <w:hyperlink w:anchor="Decision">
        <w:r>
          <w:rPr>
            <w:color w:val="0000FF"/>
            <w:u w:val="single"/>
          </w:rPr>
          <w:t>Decision</w:t>
        </w:r>
      </w:hyperlink>
    </w:p>
    <w:p>
      <w:pPr>
        <w:spacing w:after="40" w:before="40"/>
        <w:ind w:left="720"/>
      </w:pPr>
      <w:hyperlink w:anchor="Tool_Categories">
        <w:r>
          <w:rPr>
            <w:color w:val="0000FF"/>
            <w:u w:val="single"/>
          </w:rPr>
          <w:t>Tool Categories</w:t>
        </w:r>
      </w:hyperlink>
    </w:p>
    <w:p>
      <w:pPr>
        <w:spacing w:after="40" w:before="40"/>
        <w:ind w:left="720"/>
      </w:pPr>
      <w:hyperlink w:anchor="Architecture">
        <w:r>
          <w:rPr>
            <w:color w:val="0000FF"/>
            <w:u w:val="single"/>
          </w:rPr>
          <w:t>Architecture</w:t>
        </w:r>
      </w:hyperlink>
    </w:p>
    <w:p>
      <w:pPr>
        <w:spacing w:after="40" w:before="40"/>
        <w:ind w:left="720"/>
      </w:pPr>
      <w:hyperlink w:anchor="Implementation">
        <w:r>
          <w:rPr>
            <w:color w:val="0000FF"/>
            <w:u w:val="single"/>
          </w:rPr>
          <w:t>Implementation</w:t>
        </w:r>
      </w:hyperlink>
    </w:p>
    <w:p>
      <w:pPr>
        <w:spacing w:after="40" w:before="40"/>
        <w:ind w:left="360"/>
      </w:pPr>
      <w:hyperlink w:anchor="Alternatives_Considered">
        <w:r>
          <w:rPr>
            <w:color w:val="0000FF"/>
            <w:u w:val="single"/>
          </w:rPr>
          <w:t>Alternatives Considered</w:t>
        </w:r>
      </w:hyperlink>
    </w:p>
    <w:p>
      <w:pPr>
        <w:spacing w:after="40" w:before="40"/>
        <w:ind w:left="360"/>
      </w:pPr>
      <w:hyperlink w:anchor="Comparison_with_DeepLynx_MCP">
        <w:r>
          <w:rPr>
            <w:color w:val="0000FF"/>
            <w:u w:val="single"/>
          </w:rPr>
          <w:t>Comparison with DeepLynx MCP</w:t>
        </w:r>
      </w:hyperlink>
    </w:p>
    <w:p>
      <w:pPr>
        <w:spacing w:after="40" w:before="40"/>
        <w:ind w:left="360"/>
      </w:pPr>
      <w:hyperlink w:anchor="Consequences">
        <w:r>
          <w:rPr>
            <w:color w:val="0000FF"/>
            <w:u w:val="single"/>
          </w:rPr>
          <w:t>Consequences</w:t>
        </w:r>
      </w:hyperlink>
    </w:p>
    <w:p>
      <w:pPr>
        <w:spacing w:after="40" w:before="40"/>
        <w:ind w:left="720"/>
      </w:pPr>
      <w:hyperlink w:anchor="Positive">
        <w:r>
          <w:rPr>
            <w:color w:val="0000FF"/>
            <w:u w:val="single"/>
          </w:rPr>
          <w:t>Positive</w:t>
        </w:r>
      </w:hyperlink>
    </w:p>
    <w:p>
      <w:pPr>
        <w:spacing w:after="40" w:before="40"/>
        <w:ind w:left="720"/>
      </w:pPr>
      <w:hyperlink w:anchor="Negative">
        <w:r>
          <w:rPr>
            <w:color w:val="0000FF"/>
            <w:u w:val="single"/>
          </w:rPr>
          <w:t>Negative</w:t>
        </w:r>
      </w:hyperlink>
    </w:p>
    <w:p>
      <w:pPr>
        <w:spacing w:after="40" w:before="40"/>
        <w:ind w:left="720"/>
      </w:pPr>
      <w:hyperlink w:anchor="Mitigations">
        <w:r>
          <w:rPr>
            <w:color w:val="0000FF"/>
            <w:u w:val="single"/>
          </w:rPr>
          <w:t>Mitigations</w:t>
        </w:r>
      </w:hyperlink>
    </w:p>
    <w:p>
      <w:pPr>
        <w:spacing w:after="40" w:before="40"/>
        <w:ind w:left="360"/>
      </w:pPr>
      <w:hyperlink w:anchor="Implementation_Plan">
        <w:r>
          <w:rPr>
            <w:color w:val="0000FF"/>
            <w:u w:val="single"/>
          </w:rPr>
          <w:t>Implementation Plan</w:t>
        </w:r>
      </w:hyperlink>
    </w:p>
    <w:p>
      <w:pPr>
        <w:spacing w:after="40" w:before="40"/>
        <w:ind w:left="360"/>
      </w:pPr>
      <w:hyperlink w:anchor="Relationship_to_Search_AI_Module">
        <w:r>
          <w:rPr>
            <w:color w:val="0000FF"/>
            <w:u w:val="single"/>
          </w:rPr>
          <w:t>Relationship to Search/AI Module</w:t>
        </w:r>
      </w:hyperlink>
    </w:p>
    <w:p>
      <w:pPr>
        <w:spacing w:after="40" w:before="40"/>
        <w:ind w:left="360"/>
      </w:pPr>
      <w:hyperlink w:anchor="References">
        <w:r>
          <w:rPr>
            <w:color w:val="0000FF"/>
            <w:u w:val="single"/>
          </w:rPr>
          <w:t>References</w:t>
        </w:r>
      </w:hyperlink>
    </w:p>
    <w:p>
      <w:r>
        <w:br w:type="page"/>
      </w:r>
    </w:p>
    <w:p>
      <w:pPr>
        <w:pStyle w:val="Heading1"/>
        <w:spacing w:after="80" w:before="240"/>
      </w:pPr>
      <w:bookmarkStart w:id="0" w:name="ADR-006__MCP_Server_for_Agentic_Data_Acc"/>
      <w:r>
        <w:t>ADR-006: MCP Server for Agentic Data Access</w:t>
      </w:r>
      <w:bookmarkEnd w:id="0"/>
    </w:p>
    <w:p>
      <w:pPr>
        <w:spacing w:after="120" w:before="0"/>
      </w:pPr>
      <w:r>
        <w:rPr>
          <w:b/>
        </w:rPr>
        <w:t>Status:</w:t>
      </w:r>
      <w:r>
        <w:t xml:space="preserve"> Proposed   </w:t>
      </w:r>
      <w:r>
        <w:rPr>
          <w:b/>
        </w:rPr>
        <w:t>Date:</w:t>
      </w:r>
      <w:r>
        <w:t xml:space="preserve"> 2026-01-15   </w:t>
      </w:r>
      <w:r>
        <w:rPr>
          <w:b/>
        </w:rPr>
        <w:t>Decision Makers:</w:t>
      </w:r>
      <w:r>
        <w:t xml:space="preserve"> Ben, Team   </w:t>
      </w:r>
      <w:r>
        <w:rPr>
          <w:b/>
        </w:rPr>
        <w:t>Inspired By:</w:t>
      </w:r>
      <w:r>
        <w:t xml:space="preserve"> INL DeepLynx Nexus </w:t>
      </w:r>
      <w:r>
        <w:rPr>
          <w:rFonts w:ascii="Courier New" w:hAnsi="Courier New"/>
          <w:sz w:val="20"/>
        </w:rPr>
        <w:t>deeplynx.mcp/</w:t>
      </w:r>
      <w:r>
        <w:t xml:space="preserve"> implementation</w:t>
      </w:r>
    </w:p>
    <w:p>
      <w:pPr>
        <w:pStyle w:val="Heading2"/>
        <w:spacing w:after="80" w:before="240"/>
      </w:pPr>
      <w:bookmarkStart w:id="1" w:name="Context"/>
      <w:r>
        <w:t>Context</w:t>
      </w:r>
      <w:bookmarkEnd w:id="1"/>
    </w:p>
    <w:p>
      <w:pPr>
        <w:spacing w:after="120" w:before="0"/>
      </w:pPr>
      <w:r>
        <w:t>AI agents and LLM-powered applications need programmatic access to Neutron OS data. Currently, data access requires:</w:t>
      </w:r>
    </w:p>
    <w:p>
      <w:pPr>
        <w:pStyle w:val="ListNumber"/>
        <w:spacing w:after="40" w:before="0"/>
      </w:pPr>
      <w:r>
        <w:t>Direct SQL queries (requires schema knowledge)</w:t>
      </w:r>
    </w:p>
    <w:p>
      <w:pPr>
        <w:pStyle w:val="ListNumber"/>
        <w:spacing w:after="40" w:before="0"/>
      </w:pPr>
      <w:r>
        <w:t>Custom API endpoints (requires development effort per use case)</w:t>
      </w:r>
    </w:p>
    <w:p>
      <w:pPr>
        <w:pStyle w:val="ListNumber"/>
        <w:spacing w:after="40" w:before="0"/>
      </w:pPr>
      <w:r>
        <w:t>Manual data export (not suitable for automation)</w:t>
      </w:r>
    </w:p>
    <w:p>
      <w:pPr>
        <w:spacing w:after="120" w:before="0"/>
      </w:pPr>
      <w:r>
        <w:t>INL's DeepLynx Nexus has implemented an early MCP (Model Context Protocol) server that exposes tools for AI agents to query projects and records. This pattern is worth adopting.</w:t>
      </w:r>
    </w:p>
    <w:p>
      <w:pPr>
        <w:spacing w:after="120" w:before="0"/>
      </w:pPr>
      <w:r>
        <w:t>The Model Context Protocol (MCP) is Anthropic's open standard for connecting AI assistants to external data sources and tools. It provides a standardized way for LLMs to:</w:t>
      </w:r>
    </w:p>
    <w:p>
      <w:pPr>
        <w:pStyle w:val="ListBullet"/>
        <w:spacing w:after="40" w:before="0"/>
      </w:pPr>
      <w:r>
        <w:t>Discover available tools</w:t>
      </w:r>
    </w:p>
    <w:p>
      <w:pPr>
        <w:pStyle w:val="ListBullet"/>
        <w:spacing w:after="40" w:before="0"/>
      </w:pPr>
      <w:r>
        <w:t>Execute queries with proper parameters</w:t>
      </w:r>
    </w:p>
    <w:p>
      <w:pPr>
        <w:pStyle w:val="ListBullet"/>
        <w:spacing w:after="40" w:before="0"/>
      </w:pPr>
      <w:r>
        <w:t>Receive structured responses</w:t>
      </w:r>
    </w:p>
    <w:p>
      <w:pPr>
        <w:pStyle w:val="Heading2"/>
        <w:spacing w:after="80" w:before="240"/>
      </w:pPr>
      <w:bookmarkStart w:id="2" w:name="Decision"/>
      <w:r>
        <w:t>Decision</w:t>
      </w:r>
      <w:bookmarkEnd w:id="2"/>
    </w:p>
    <w:p>
      <w:pPr>
        <w:spacing w:after="120" w:before="0"/>
      </w:pPr>
      <w:r>
        <w:t xml:space="preserve">We will implement a </w:t>
      </w:r>
      <w:r>
        <w:rPr>
          <w:b/>
        </w:rPr>
        <w:t>Python MCP server</w:t>
      </w:r>
      <w:r>
        <w:t xml:space="preserve"> exposing Neutron OS data and operations as tools for AI agents.</w:t>
      </w:r>
    </w:p>
    <w:p>
      <w:pPr>
        <w:pStyle w:val="Heading3"/>
        <w:spacing w:after="80" w:before="240"/>
      </w:pPr>
      <w:bookmarkStart w:id="3" w:name="Tool_Categories"/>
      <w:r>
        <w:t>Tool Categories</w:t>
      </w:r>
      <w:bookmarkEnd w:id="3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Category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Tools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Purpose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Query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query_reactor_timeseries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query_simulation_outputs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search_elog_entries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Read data from lakehouse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Semantic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semantic_search_meetings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find_similar_scenarios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Vector search via pgvector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Metadata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list_projects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get_schema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list_tables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Discovery and schema info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Predict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get_dt_prediction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compare_prediction_actual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twin outputs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Write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create_elog_entry</w:t>
            </w:r>
            <w:r>
              <w:rPr>
                <w:rFonts w:ascii="Calibri" w:hAnsi="Calibri"/>
              </w:rPr>
              <w:t xml:space="preserve">, </w:t>
            </w:r>
            <w:r>
              <w:rPr>
                <w:rFonts w:ascii="Courier New" w:hAnsi="Courier New"/>
                <w:sz w:val="20"/>
              </w:rPr>
              <w:t>log_meeting_action_item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Controlled data creation</w:t>
            </w:r>
          </w:p>
        </w:tc>
      </w:tr>
    </w:tbl>
    <w:p/>
    <w:p>
      <w:pPr>
        <w:pStyle w:val="Heading3"/>
        <w:spacing w:after="40" w:before="240"/>
      </w:pPr>
      <w:bookmarkStart w:id="4" w:name="Architecture"/>
      <w:r>
        <w:t>Architecture</w:t>
      </w:r>
      <w:bookmarkEnd w:id="4"/>
    </w:p>
    <w:p>
      <w:pPr>
        <w:spacing w:after="240" w:befor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39450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5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  <w:spacing w:after="80" w:before="240"/>
      </w:pPr>
      <w:bookmarkStart w:id="5" w:name="Implementation"/>
      <w:r>
        <w:t>Implementation</w:t>
      </w:r>
      <w:bookmarkEnd w:id="5"/>
    </w:p>
    <w:p>
      <w:pPr>
        <w:spacing w:after="120" w:before="0"/>
      </w:pPr>
      <w:r>
        <w:rPr>
          <w:rFonts w:ascii="Courier New" w:hAnsi="Courier New"/>
          <w:sz w:val="20"/>
        </w:rPr>
        <w:t># services/mcp-server/neutron_os_mcp/server.py</w:t>
        <w:br/>
        <w:br/>
        <w:t>from mcp.server import Server</w:t>
        <w:br/>
        <w:t>from mcp.types import Tool, TextContent</w:t>
        <w:br/>
        <w:t>import duckdb</w:t>
        <w:br/>
        <w:br/>
        <w:t>server = Server("neutron-os")</w:t>
        <w:br/>
        <w:br/>
        <w:br/>
        <w:t>async def query_reactor_timeseries(</w:t>
        <w:br/>
        <w:t xml:space="preserve">    reactor_id: str,</w:t>
        <w:br/>
        <w:t xml:space="preserve">    metric: str,</w:t>
        <w:br/>
        <w:t xml:space="preserve">    start_time: str,</w:t>
        <w:br/>
        <w:t xml:space="preserve">    end_time: str,</w:t>
        <w:br/>
        <w:t xml:space="preserve">    limit: int = 1000</w:t>
        <w:br/>
        <w:t>) -&gt; list[TextContent]:</w:t>
        <w:br/>
        <w:t xml:space="preserve">    """</w:t>
        <w:br/>
        <w:t xml:space="preserve">    Query reactor time-series data from the lakehouse.</w:t>
        <w:br/>
        <w:t xml:space="preserve">    </w:t>
        <w:br/>
        <w:t xml:space="preserve">    Args:</w:t>
        <w:br/>
        <w:t xml:space="preserve">        reactor_id: Reactor identifier (e.g., 'TRIGA-001')</w:t>
        <w:br/>
        <w:t xml:space="preserve">        metric: Metric to query (e.g., 'power_kw', 'temp_fuel_c')</w:t>
        <w:br/>
        <w:t xml:space="preserve">        start_time: ISO timestamp start</w:t>
        <w:br/>
        <w:t xml:space="preserve">        end_time: ISO timestamp end</w:t>
        <w:br/>
        <w:t xml:space="preserve">        limit: Max rows to return</w:t>
        <w:br/>
        <w:t xml:space="preserve">    </w:t>
        <w:br/>
        <w:t xml:space="preserve">    Returns:</w:t>
        <w:br/>
        <w:t xml:space="preserve">        Markdown table of results</w:t>
        <w:br/>
        <w:t xml:space="preserve">    """</w:t>
        <w:br/>
        <w:t xml:space="preserve">    sql = f"""</w:t>
        <w:br/>
        <w:t xml:space="preserve">    SELECT timestamp, {metric}</w:t>
        <w:br/>
        <w:t xml:space="preserve">    FROM gold.reactor_metrics</w:t>
        <w:br/>
        <w:t xml:space="preserve">    WHERE reactor_id = ?</w:t>
        <w:br/>
        <w:t xml:space="preserve">      AND timestamp BETWEEN ? AND ?</w:t>
        <w:br/>
        <w:t xml:space="preserve">    ORDER BY timestamp</w:t>
        <w:br/>
        <w:t xml:space="preserve">    LIMIT ?</w:t>
        <w:br/>
        <w:t xml:space="preserve">    """</w:t>
        <w:br/>
        <w:t xml:space="preserve">    conn = duckdb.connect('/path/to/lakehouse')</w:t>
        <w:br/>
        <w:t xml:space="preserve">    result = conn.execute(sql, [reactor_id, start_time, end_time, limit]).fetchdf()</w:t>
        <w:br/>
        <w:t xml:space="preserve">    return [TextContent(type="text", text=result.to_markdown())]</w:t>
        <w:br/>
        <w:br/>
        <w:br/>
        <w:t>async def search_elog_entries(</w:t>
        <w:br/>
        <w:t xml:space="preserve">    query: str,</w:t>
        <w:br/>
        <w:t xml:space="preserve">    facility: str | None = None,</w:t>
        <w:br/>
        <w:t xml:space="preserve">    limit: int = 10</w:t>
        <w:br/>
        <w:t>) -&gt; list[TextContent]:</w:t>
        <w:br/>
        <w:t xml:space="preserve">    """</w:t>
        <w:br/>
        <w:t xml:space="preserve">    Semantic search over elog entries using pgvector embeddings.</w:t>
        <w:br/>
        <w:t xml:space="preserve">    </w:t>
        <w:br/>
        <w:t xml:space="preserve">    Args:</w:t>
        <w:br/>
        <w:t xml:space="preserve">        query: Natural language search query</w:t>
        <w:br/>
        <w:t xml:space="preserve">        facility: Optional facility filter</w:t>
        <w:br/>
        <w:t xml:space="preserve">        limit: Max results</w:t>
        <w:br/>
        <w:t xml:space="preserve">    </w:t>
        <w:br/>
        <w:t xml:space="preserve">    Returns:</w:t>
        <w:br/>
        <w:t xml:space="preserve">        Relevant elog entries with similarity scores</w:t>
        <w:br/>
        <w:t xml:space="preserve">    """</w:t>
        <w:br/>
        <w:t xml:space="preserve">    # Implementation uses pgvector for semantic search</w:t>
        <w:br/>
        <w:t xml:space="preserve">    ...</w:t>
        <w:br/>
        <w:br/>
        <w:br/>
        <w:t>async def get_dt_prediction(</w:t>
        <w:br/>
        <w:t xml:space="preserve">    digital_twin: str,</w:t>
        <w:br/>
        <w:t xml:space="preserve">    prediction_type: str,</w:t>
        <w:br/>
        <w:t xml:space="preserve">    horizon_seconds: int = 60</w:t>
        <w:br/>
        <w:t>) -&gt; list[TextContent]:</w:t>
        <w:br/>
        <w:t xml:space="preserve">    """</w:t>
        <w:br/>
        <w:t xml:space="preserve">    Get current digital twin prediction for reactor state.</w:t>
        <w:br/>
        <w:t xml:space="preserve">    </w:t>
        <w:br/>
        <w:t xml:space="preserve">    Args:</w:t>
        <w:br/>
        <w:t xml:space="preserve">        digital_twin: Which DT to query ('triga', 'msr', 'mit_loop', 'offgas')</w:t>
        <w:br/>
        <w:t xml:space="preserve">        prediction_type: What to predict ('power', 'temperature', 'xe_concentration')</w:t>
        <w:br/>
        <w:t xml:space="preserve">        horizon_seconds: How far ahead to predict</w:t>
        <w:br/>
        <w:t xml:space="preserve">    </w:t>
        <w:br/>
        <w:t xml:space="preserve">    Returns:</w:t>
        <w:br/>
        <w:t xml:space="preserve">        Prediction with uncertainty bounds</w:t>
        <w:br/>
        <w:t xml:space="preserve">    """</w:t>
        <w:br/>
        <w:t xml:space="preserve">    ...</w:t>
      </w:r>
    </w:p>
    <w:p>
      <w:pPr>
        <w:pStyle w:val="Heading2"/>
        <w:spacing w:after="80" w:before="240"/>
      </w:pPr>
      <w:bookmarkStart w:id="6" w:name="Alternatives_Considered"/>
      <w:r>
        <w:t>Alternatives Considered</w:t>
      </w:r>
      <w:bookmarkEnd w:id="6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Alternative</w:t>
            </w:r>
          </w:p>
        </w:tc>
        <w:tc>
          <w:tcPr>
            <w:tcW w:type="dxa" w:w="432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Reason Not Selected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GraphQL API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LLMs generate SQL better than GraphQL; adds complexity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REST endpoints only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No standardized tool discovery; harder for agents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Direct database access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Security risk; no rate limiting; no audit</w:t>
            </w:r>
          </w:p>
        </w:tc>
      </w:tr>
      <w:tr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DeepLynx adoption</w:t>
            </w:r>
          </w:p>
        </w:tc>
        <w:tc>
          <w:tcPr>
            <w:tcW w:type="dxa" w:w="432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Different data model; C# stack doesn't fit our team</w:t>
            </w:r>
          </w:p>
        </w:tc>
      </w:tr>
    </w:tbl>
    <w:p/>
    <w:p>
      <w:pPr>
        <w:pStyle w:val="Heading2"/>
        <w:spacing w:after="80" w:before="240"/>
      </w:pPr>
      <w:bookmarkStart w:id="7" w:name="Comparison_with_DeepLynx_MCP"/>
      <w:r>
        <w:t>Comparison with DeepLynx MCP</w:t>
      </w:r>
      <w:bookmarkEnd w:id="7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Aspect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DeepLynx MCP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Neutron OS MCP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Language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C#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Python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Data Model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Graph (records/edges)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SQL (Iceberg tables)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ProjectTools, RecordTools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Query, Semantic, Predict tools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Auth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Inherited from DeepLynx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API keys + RLS</w:t>
            </w:r>
          </w:p>
        </w:tc>
      </w:tr>
    </w:tbl>
    <w:p/>
    <w:p>
      <w:pPr>
        <w:pStyle w:val="Heading2"/>
        <w:spacing w:after="80" w:before="240"/>
      </w:pPr>
      <w:bookmarkStart w:id="8" w:name="Consequences"/>
      <w:r>
        <w:t>Consequences</w:t>
      </w:r>
      <w:bookmarkEnd w:id="8"/>
    </w:p>
    <w:p>
      <w:pPr>
        <w:pStyle w:val="Heading3"/>
        <w:spacing w:after="80" w:before="240"/>
      </w:pPr>
      <w:bookmarkStart w:id="9" w:name="Positive"/>
      <w:r>
        <w:t>Positive</w:t>
      </w:r>
      <w:bookmarkEnd w:id="9"/>
    </w:p>
    <w:p>
      <w:pPr>
        <w:pStyle w:val="ListBullet"/>
        <w:spacing w:after="40" w:before="0"/>
      </w:pPr>
      <w:r>
        <w:t>AI agents can query data without schema knowledge</w:t>
      </w:r>
    </w:p>
    <w:p>
      <w:pPr>
        <w:pStyle w:val="ListBullet"/>
        <w:spacing w:after="40" w:before="0"/>
      </w:pPr>
      <w:r>
        <w:t>Standardized interface for all LLM applications</w:t>
      </w:r>
    </w:p>
    <w:p>
      <w:pPr>
        <w:pStyle w:val="ListBullet"/>
        <w:spacing w:after="40" w:before="0"/>
      </w:pPr>
      <w:r>
        <w:t>Audit trail of agent queries</w:t>
      </w:r>
    </w:p>
    <w:p>
      <w:pPr>
        <w:pStyle w:val="ListBullet"/>
        <w:spacing w:after="40" w:before="0"/>
      </w:pPr>
      <w:r>
        <w:t>Rate limiting and access control at tool level</w:t>
      </w:r>
    </w:p>
    <w:p>
      <w:pPr>
        <w:pStyle w:val="Heading3"/>
        <w:spacing w:after="80" w:before="240"/>
      </w:pPr>
      <w:bookmarkStart w:id="10" w:name="Negative"/>
      <w:r>
        <w:t>Negative</w:t>
      </w:r>
      <w:bookmarkEnd w:id="10"/>
    </w:p>
    <w:p>
      <w:pPr>
        <w:pStyle w:val="ListBullet"/>
        <w:spacing w:after="40" w:before="0"/>
      </w:pPr>
      <w:r>
        <w:t>New service to maintain</w:t>
      </w:r>
    </w:p>
    <w:p>
      <w:pPr>
        <w:pStyle w:val="ListBullet"/>
        <w:spacing w:after="40" w:before="0"/>
      </w:pPr>
      <w:r>
        <w:t>Must keep tools in sync with schema changes</w:t>
      </w:r>
    </w:p>
    <w:p>
      <w:pPr>
        <w:pStyle w:val="ListBullet"/>
        <w:spacing w:after="40" w:before="0"/>
      </w:pPr>
      <w:r>
        <w:t>Potential for expensive queries if not bounded</w:t>
      </w:r>
    </w:p>
    <w:p>
      <w:pPr>
        <w:pStyle w:val="Heading3"/>
        <w:spacing w:after="80" w:before="240"/>
      </w:pPr>
      <w:bookmarkStart w:id="11" w:name="Mitigations"/>
      <w:r>
        <w:t>Mitigations</w:t>
      </w:r>
      <w:bookmarkEnd w:id="11"/>
    </w:p>
    <w:p>
      <w:pPr>
        <w:pStyle w:val="ListBullet"/>
        <w:spacing w:after="40" w:before="0"/>
      </w:pPr>
      <w:r>
        <w:t>Auto-generate tool docs from schema</w:t>
      </w:r>
    </w:p>
    <w:p>
      <w:pPr>
        <w:pStyle w:val="ListBullet"/>
        <w:spacing w:after="40" w:before="0"/>
      </w:pPr>
      <w:r>
        <w:t>Enforce query limits in tool implementations</w:t>
      </w:r>
    </w:p>
    <w:p>
      <w:pPr>
        <w:pStyle w:val="ListBullet"/>
        <w:spacing w:after="40" w:before="0"/>
      </w:pPr>
      <w:r>
        <w:t>Log all tool invocations for audit</w:t>
      </w:r>
    </w:p>
    <w:p>
      <w:pPr>
        <w:pStyle w:val="Heading2"/>
        <w:spacing w:after="80" w:before="240"/>
      </w:pPr>
      <w:bookmarkStart w:id="12" w:name="Implementation_Plan"/>
      <w:r>
        <w:t>Implementation Plan</w:t>
      </w:r>
      <w:bookmarkEnd w:id="12"/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Phase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Deliverable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Timeline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1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Query tools (read-only)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 1-2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2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Semantic search 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 3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3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Digital twin prediction 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 4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4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Write tools (with approval flow)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Week 5-6</w:t>
            </w:r>
          </w:p>
        </w:tc>
      </w:tr>
    </w:tbl>
    <w:p/>
    <w:p>
      <w:pPr>
        <w:pStyle w:val="Heading2"/>
        <w:spacing w:after="80" w:before="240"/>
      </w:pPr>
      <w:bookmarkStart w:id="13" w:name="Relationship_to_Search_AI_Module"/>
      <w:r>
        <w:t>Relationship to Search/AI Module</w:t>
      </w:r>
      <w:bookmarkEnd w:id="13"/>
    </w:p>
    <w:p>
      <w:pPr>
        <w:spacing w:after="120" w:before="0"/>
      </w:pPr>
      <w:r>
        <w:t xml:space="preserve">The MCP Server is the </w:t>
      </w:r>
      <w:r>
        <w:rPr>
          <w:b/>
        </w:rPr>
        <w:t>technical foundation</w:t>
      </w:r>
      <w:r>
        <w:t xml:space="preserve"> for the planned </w:t>
      </w:r>
      <w:r>
        <w:rPr>
          <w:b/>
        </w:rPr>
        <w:t>Search/AI module</w:t>
      </w:r>
      <w:r>
        <w:t xml:space="preserve"> (see </w:t>
      </w:r>
      <w:r/>
      <w:r>
        <w:t>). The module will provide:</w:t>
      </w:r>
      <w:hyperlink r:id="rId10">
        <w:r>
          <w:rPr>
            <w:color w:val="0000FF"/>
            <w:u w:val="single"/>
          </w:rPr>
          <w:t>Executive PRD</w:t>
        </w:r>
      </w:hyperlink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Capability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MCP Foundation</w:t>
            </w:r>
          </w:p>
        </w:tc>
        <w:tc>
          <w:tcPr>
            <w:tcW w:type="dxa" w:w="2880"/>
            <w:vAlign w:val="top"/>
          </w:tcPr>
          <w:p>
            <w:pPr>
              <w:spacing w:after="120" w:before="0"/>
            </w:pPr>
            <w:r>
              <w:rPr>
                <w:rFonts w:ascii="Calibri" w:hAnsi="Calibri"/>
                <w:b/>
                <w:sz w:val="22"/>
              </w:rPr>
            </w:r>
            <w:r>
              <w:rPr>
                <w:rFonts w:ascii="Calibri" w:hAnsi="Calibri"/>
                <w:b/>
                <w:sz w:val="22"/>
              </w:rPr>
              <w:t>User-Facing Feature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RAG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ourier New" w:hAnsi="Courier New"/>
                <w:sz w:val="20"/>
              </w:rPr>
              <w:t>semantic_search_*</w:t>
            </w:r>
            <w:r>
              <w:rPr>
                <w:rFonts w:ascii="Calibri" w:hAnsi="Calibri"/>
              </w:rPr>
              <w:t xml:space="preserve"> 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Natural language queries over facility docs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Workflow Agents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Write tools + approval flow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AI-assisted data entry, meeting summarization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  <w:b/>
              </w:rPr>
              <w:t>Tuned LLMs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Domain context via tools</w:t>
            </w:r>
          </w:p>
        </w:tc>
        <w:tc>
          <w:tcPr>
            <w:tcW w:type="dxa" w:w="2880"/>
            <w:vAlign w:val="top"/>
          </w:tcPr>
          <w:p>
            <w:pPr>
              <w:spacing w:after="80" w:before="0"/>
            </w:pPr>
            <w:r>
              <w:rPr>
                <w:rFonts w:ascii="Calibri" w:hAnsi="Calibri"/>
              </w:rPr>
            </w:r>
            <w:r>
              <w:rPr>
                <w:rFonts w:ascii="Calibri" w:hAnsi="Calibri"/>
              </w:rPr>
              <w:t>Nuclear-specific terminology understanding</w:t>
            </w:r>
          </w:p>
        </w:tc>
      </w:tr>
    </w:tbl>
    <w:p/>
    <w:p>
      <w:pPr>
        <w:spacing w:after="120" w:before="0"/>
      </w:pPr>
      <w:r>
        <w:t xml:space="preserve">The Search/AI module is configured </w:t>
      </w:r>
      <w:r>
        <w:rPr>
          <w:b/>
        </w:rPr>
        <w:t>off by default</w:t>
      </w:r>
      <w:r>
        <w:t xml:space="preserve"> but builds on MCP infrastructure that exists for all facilities.</w:t>
      </w:r>
    </w:p>
    <w:p>
      <w:pPr>
        <w:pStyle w:val="Heading2"/>
        <w:spacing w:after="80" w:before="240"/>
      </w:pPr>
      <w:bookmarkStart w:id="14" w:name="References"/>
      <w:r>
        <w:t>References</w:t>
      </w:r>
      <w:bookmarkEnd w:id="14"/>
    </w:p>
    <w:p>
      <w:pPr>
        <w:pStyle w:val="ListBullet"/>
        <w:spacing w:after="40" w:before="0"/>
      </w:pPr>
      <w:r/>
      <w:hyperlink r:id="rId11">
        <w:r>
          <w:rPr>
            <w:color w:val="0000FF"/>
            <w:u w:val="single"/>
          </w:rPr>
          <w:t>Model Context Protocol Specification</w:t>
        </w:r>
      </w:hyperlink>
    </w:p>
    <w:p>
      <w:pPr>
        <w:pStyle w:val="ListBullet"/>
        <w:spacing w:after="40" w:before="0"/>
      </w:pPr>
      <w:r/>
      <w:hyperlink r:id="rId12">
        <w:r>
          <w:rPr>
            <w:color w:val="0000FF"/>
            <w:u w:val="single"/>
          </w:rPr>
          <w:t>DeepLynx MCP Implementation</w:t>
        </w:r>
      </w:hyperlink>
    </w:p>
    <w:p>
      <w:pPr>
        <w:pStyle w:val="ListBullet"/>
        <w:spacing w:after="40" w:before="0"/>
      </w:pPr>
      <w:r/>
      <w:hyperlink r:id="rId13">
        <w:r>
          <w:rPr>
            <w:color w:val="0000FF"/>
            <w:u w:val="single"/>
          </w:rPr>
          <w:t>mcp Python SDK</w:t>
        </w:r>
      </w:hyperlink>
    </w:p>
    <w:p>
      <w:pPr>
        <w:pStyle w:val="ListBullet"/>
        <w:spacing w:after="40" w:before="0"/>
      </w:pPr>
      <w:r/>
      <w:hyperlink r:id="rId14">
        <w:r>
          <w:rPr>
            <w:color w:val="0000FF"/>
            <w:u w:val="single"/>
          </w:rPr>
          <w:t>Tech Spec §1.5: Application Modules</w:t>
        </w:r>
      </w:hyperlink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ptos Display" w:hAnsi="Aptos Display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ptos Display" w:hAnsi="Aptos Display"/>
      <w:color w:val="243F60" w:themeColor="accent1" w:themeShade="7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ptos Display" w:hAnsi="Aptos Display"/>
      <w:i/>
      <w:iCs/>
      <w:color w:val="243F60" w:themeColor="accent1" w:themeShade="7F"/>
      <w:sz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../prd/neutron-os-executive-prd.md" TargetMode="External"/><Relationship Id="rId11" Type="http://schemas.openxmlformats.org/officeDocument/2006/relationships/hyperlink" Target="https://modelcontextprotocol.io/" TargetMode="External"/><Relationship Id="rId12" Type="http://schemas.openxmlformats.org/officeDocument/2006/relationships/hyperlink" Target="https://github.com/idaholab/DeepLynx/tree/main/deeplynx.mcp" TargetMode="External"/><Relationship Id="rId13" Type="http://schemas.openxmlformats.org/officeDocument/2006/relationships/hyperlink" Target="https://github.com/anthropics/mcp" TargetMode="External"/><Relationship Id="rId14" Type="http://schemas.openxmlformats.org/officeDocument/2006/relationships/hyperlink" Target="../specs/neutron-os-master-tech-spec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