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240"/>
      </w:pPr>
      <w:bookmarkStart w:id="0" w:name="The_Nuclear_Data_Infrastructure_Challeng"/>
      <w:r>
        <w:t>The Nuclear Data Infrastructure Challenge</w:t>
      </w:r>
      <w:bookmarkEnd w:id="0"/>
    </w:p>
    <w:p>
      <w:pPr>
        <w:pStyle w:val="Heading2"/>
        <w:spacing w:after="80" w:before="240"/>
      </w:pPr>
      <w:bookmarkStart w:id="1" w:name="Why_DeepLynx___Neutron_OS_Together_Can_D"/>
      <w:r>
        <w:t>Why DeepLynx + Neutron OS Together Can Do What Neither Can Alone</w:t>
      </w:r>
      <w:bookmarkEnd w:id="1"/>
    </w:p>
    <w:p>
      <w:pPr>
        <w:spacing w:after="120" w:before="0"/>
      </w:pPr>
      <w:r>
        <w:rPr>
          <w:b/>
        </w:rPr>
        <w:t>Vision Document | January 2026</w:t>
      </w:r>
    </w:p>
    <w:p>
      <w:pPr>
        <w:pStyle w:val="Heading2"/>
        <w:spacing w:after="80" w:before="240"/>
      </w:pPr>
      <w:bookmarkStart w:id="2" w:name="The_Industry_Problem_We_re_Solving_Toget"/>
      <w:r>
        <w:t>The Industry Problem We're Solving Together</w:t>
      </w:r>
      <w:bookmarkEnd w:id="2"/>
    </w:p>
    <w:p>
      <w:pPr>
        <w:spacing w:after="120" w:before="0"/>
      </w:pPr>
      <w:r>
        <w:t xml:space="preserve">Nuclear energy is at an inflection point. The U.S. has 94 operating reactors. Over the next 20 years, industry forecasts suggest </w:t>
      </w:r>
      <w:r>
        <w:rPr>
          <w:b/>
        </w:rPr>
        <w:t>200-500+ new units</w:t>
      </w:r>
      <w:r>
        <w:t xml:space="preserve"> (SMRs, microreactors, advanced designs) may be constructed and operated. This represents a data infrastructure challenge the industry has never faced: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Challenge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Current State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Commercial Scale (2035+)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Plant configurations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Manually tracked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500+ unique designs, continuous updates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Operational time-series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GB/day per plant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Petabytes/day across fleet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Digital twins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R&amp;D projects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Production safety systems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Regulatory compliance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Per-plant reporting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Fleet-wide automation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AI/ML integration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Experiments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Operational requirements</w:t>
            </w:r>
          </w:p>
        </w:tc>
      </w:tr>
    </w:tbl>
    <w:p/>
    <w:p>
      <w:pPr>
        <w:spacing w:after="120" w:before="0"/>
      </w:pPr>
      <w:r>
        <w:rPr>
          <w:b/>
        </w:rPr>
        <w:t>The question isn't whether we need data infrastructure. It's whether we build one coherent architecture or 500 incompatible silos.</w:t>
      </w:r>
    </w:p>
    <w:p>
      <w:pPr>
        <w:pStyle w:val="Heading2"/>
        <w:spacing w:after="80" w:before="240"/>
      </w:pPr>
      <w:bookmarkStart w:id="3" w:name="Why__Just_Use_DeepLynx__Isn_t_the_Answer"/>
      <w:r>
        <w:t>Why "Just Use DeepLynx" Isn't the Answer (And Neither Is "Just Use Neutron OS")</w:t>
      </w:r>
      <w:bookmarkEnd w:id="3"/>
    </w:p>
    <w:p>
      <w:pPr>
        <w:spacing w:after="120" w:before="0"/>
      </w:pPr>
      <w:r>
        <w:t>Both systems are excellent—at different things. Trying to make one system do everything leads to architectural compromises that hurt both use cases.</w:t>
      </w:r>
    </w:p>
    <w:p>
      <w:pPr>
        <w:pStyle w:val="Heading3"/>
        <w:spacing w:after="80" w:before="240"/>
      </w:pPr>
      <w:bookmarkStart w:id="4" w:name="DeepLynx__The_Digital_Engineering_Backbo"/>
      <w:r>
        <w:t>DeepLynx: The Digital Engineering Backbone</w:t>
      </w:r>
      <w:bookmarkEnd w:id="4"/>
    </w:p>
    <w:p>
      <w:pPr>
        <w:spacing w:after="120" w:before="0"/>
      </w:pPr>
      <w:r>
        <w:t xml:space="preserve">DeepLynx excels at </w:t>
      </w:r>
      <w:r>
        <w:rPr>
          <w:b/>
        </w:rPr>
        <w:t>structural data</w:t>
      </w:r>
      <w:r>
        <w:t xml:space="preserve">—the things that define what a reactor </w:t>
      </w:r>
      <w:r>
        <w:rPr>
          <w:i/>
        </w:rPr>
        <w:t>is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Strength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Why It Matters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Ontology management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Defines components, relationships, safety classifications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Relationship graphs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"Control rod A connects to drive mechanism B with parameters C"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Configuration tracking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Design evolution, as-built vs. as-designed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GraphQL for structure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Query: "What are all safety-related components in Reactor X?"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Multi-project coordination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Proven on MARVEL, NRIC, complex construction projects</w:t>
            </w:r>
          </w:p>
        </w:tc>
      </w:tr>
    </w:tbl>
    <w:p/>
    <w:p>
      <w:pPr>
        <w:spacing w:after="120" w:before="0"/>
      </w:pPr>
      <w:r>
        <w:rPr>
          <w:b/>
        </w:rPr>
        <w:t>DeepLynx knows what things are and how they relate.</w:t>
      </w:r>
    </w:p>
    <w:p>
      <w:pPr>
        <w:pStyle w:val="Heading3"/>
        <w:spacing w:after="80" w:before="240"/>
      </w:pPr>
      <w:bookmarkStart w:id="5" w:name="Neutron_OS__The_Operational_Intelligence"/>
      <w:r>
        <w:t>Neutron OS: The Operational Intelligence Layer</w:t>
      </w:r>
      <w:bookmarkEnd w:id="5"/>
    </w:p>
    <w:p>
      <w:pPr>
        <w:spacing w:after="120" w:before="0"/>
      </w:pPr>
      <w:r>
        <w:t xml:space="preserve">Neutron OS excels at </w:t>
      </w:r>
      <w:r>
        <w:rPr>
          <w:b/>
        </w:rPr>
        <w:t>temporal data</w:t>
      </w:r>
      <w:r>
        <w:t xml:space="preserve">—the things that define what a reactor </w:t>
      </w:r>
      <w:r>
        <w:rPr>
          <w:i/>
        </w:rPr>
        <w:t>does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Strength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Why It Matters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Streaming-first architecture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Sub-second latency for real-time operations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Time-series lakehouse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Petabyte-scale sensor history with time-travel queries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ML/surrogate pipelines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Train, validate, deploy physics-informed models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Uncertainty quantification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Know how much to trust predictions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Agentic AI integration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MCP servers for AI assistants to query operational context</w:t>
            </w:r>
          </w:p>
        </w:tc>
      </w:tr>
    </w:tbl>
    <w:p/>
    <w:p>
      <w:pPr>
        <w:spacing w:after="120" w:before="0"/>
      </w:pPr>
      <w:r>
        <w:rPr>
          <w:b/>
        </w:rPr>
        <w:t>Neutron OS knows what's happening and what will happen next.</w:t>
      </w:r>
    </w:p>
    <w:p>
      <w:pPr>
        <w:pStyle w:val="Heading3"/>
        <w:spacing w:after="80" w:before="240"/>
      </w:pPr>
      <w:bookmarkStart w:id="6" w:name="The_Gap_Neither_Fills_Alone"/>
      <w:r>
        <w:t>The Gap Neither Fills Alone</w:t>
      </w:r>
      <w:bookmarkEnd w:id="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Capability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DeepLynx Alone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Neutron OS Alone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Together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"What components exist?"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Excellent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Not its job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"What are sensor readings now?"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Possible but not optimized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Excellent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"Predict power in 10ms"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Not its job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Excellent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"Which safety components are degrading?"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Knows components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Knows trends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✅ </w:t>
            </w:r>
            <w:r>
              <w:rPr>
                <w:rFonts w:ascii="Calibri" w:hAnsi="Calibri"/>
                <w:b/>
              </w:rPr>
              <w:t>Combined insight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"AI: explain this anomaly in context"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Structure only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Time-series only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✅ </w:t>
            </w:r>
            <w:r>
              <w:rPr>
                <w:rFonts w:ascii="Calibri" w:hAnsi="Calibri"/>
                <w:b/>
              </w:rPr>
              <w:t>Full picture</w:t>
            </w:r>
          </w:p>
        </w:tc>
      </w:tr>
    </w:tbl>
    <w:p/>
    <w:p>
      <w:pPr>
        <w:pStyle w:val="Heading2"/>
        <w:spacing w:after="40" w:before="240"/>
      </w:pPr>
      <w:bookmarkStart w:id="7" w:name="The_Integrated_Architecture_Vision"/>
      <w:r>
        <w:t>The Integrated Architecture Vision</w:t>
      </w:r>
      <w:bookmarkEnd w:id="7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82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bookmarkStart w:id="8" w:name="Integration_Mechanisms"/>
      <w:r>
        <w:t>Integration Mechanisms</w:t>
      </w:r>
      <w:bookmarkEnd w:id="8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Mechanism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Example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Shared Ontology Vocabulary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Same names for same things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Both systems call it </w:t>
            </w:r>
            <w:r>
              <w:rPr>
                <w:rFonts w:ascii="Courier New" w:hAnsi="Courier New"/>
                <w:sz w:val="20"/>
              </w:rPr>
              <w:t>NETL_RX_POWER_KW</w:t>
            </w:r>
            <w:r>
              <w:rPr>
                <w:rFonts w:ascii="Calibri" w:hAnsi="Calibri"/>
              </w:rPr>
              <w:t>, not "power" vs "reactor_power"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MCP Servers (Both Sides)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AI agents query either system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"Claude, what's the safety classification of the component showing anomalous readings?"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Event Bus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Real-time sync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DeepLynx publishes config changes → Neutron OS updates ML model context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Data Contracts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Schema guarantees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Time-series data includes </w:t>
            </w:r>
            <w:r>
              <w:rPr>
                <w:rFonts w:ascii="Courier New" w:hAnsi="Courier New"/>
                <w:sz w:val="20"/>
              </w:rPr>
              <w:t>component_id</w:t>
            </w:r>
            <w:r>
              <w:rPr>
                <w:rFonts w:ascii="Calibri" w:hAnsi="Calibri"/>
              </w:rPr>
              <w:t xml:space="preserve"> that references DeepLynx ontology</w:t>
            </w:r>
          </w:p>
        </w:tc>
      </w:tr>
    </w:tbl>
    <w:p/>
    <w:p>
      <w:pPr>
        <w:pStyle w:val="Heading2"/>
        <w:spacing w:after="80" w:before="240"/>
      </w:pPr>
      <w:bookmarkStart w:id="9" w:name="What_This_Enables_at_Commercial_Scale"/>
      <w:r>
        <w:t>What This Enables at Commercial Scale</w:t>
      </w:r>
      <w:bookmarkEnd w:id="9"/>
    </w:p>
    <w:p>
      <w:pPr>
        <w:pStyle w:val="Heading3"/>
        <w:spacing w:after="80" w:before="240"/>
      </w:pPr>
      <w:bookmarkStart w:id="10" w:name="Scenario__Fleet-Wide_Anomaly_Detection__"/>
      <w:r>
        <w:t>Scenario: Fleet-Wide Anomaly Detection (2035)</w:t>
      </w:r>
      <w:bookmarkEnd w:id="10"/>
    </w:p>
    <w:p>
      <w:pPr>
        <w:spacing w:after="120" w:before="0"/>
      </w:pPr>
      <w:r>
        <w:t>An operator manages 47 SMRs across 12 sites. A subtle pump vibration pattern appears at Site 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Step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System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Action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Neutron OS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Streaming anomaly detection flags deviation from baseline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Neutron OS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Queries historical data: "Has this pattern appeared elsewhere?"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Neutron OS → DeepLynx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"What component is this sensor monitoring?"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4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DeepLynx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Returns: Primary coolant pump, Model X, installed 2031, safety-related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5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DeepLynx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"What other sites have Model X pumps?" → Sites 3, 7, 12, 29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6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Neutron OS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Queries time-series from Sites 7, 12, 29: "Similar patterns?"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7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AI Assistant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Synthesizes: "Emerging wear pattern in Model X pumps after 4 years. Recommend inspection at all sites."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8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Regulatory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Automatic Part 21 notification drafted with supporting data</w:t>
            </w:r>
          </w:p>
        </w:tc>
      </w:tr>
    </w:tbl>
    <w:p/>
    <w:p>
      <w:pPr>
        <w:spacing w:after="120" w:before="0"/>
      </w:pPr>
      <w:r>
        <w:rPr>
          <w:b/>
        </w:rPr>
        <w:t>Neither system could do this alone.</w:t>
      </w:r>
      <w:r>
        <w:t xml:space="preserve"> DeepLynx knows the fleet topology. Neutron OS knows the operational patterns. Together: predictive fleet maintenance.</w:t>
      </w:r>
    </w:p>
    <w:p>
      <w:pPr>
        <w:pStyle w:val="Heading3"/>
        <w:spacing w:after="80" w:before="240"/>
      </w:pPr>
      <w:bookmarkStart w:id="11" w:name="Scenario__AI-Assisted_Regulatory_Query"/>
      <w:r>
        <w:t>Scenario: AI-Assisted Regulatory Query</w:t>
      </w:r>
      <w:bookmarkEnd w:id="11"/>
    </w:p>
    <w:p>
      <w:pPr>
        <w:spacing w:after="120" w:before="0"/>
      </w:pPr>
      <w:r>
        <w:t>NRC asks: "For all TRIGAs operating above 900 kW in Q3 2034, show xenon poisoning events correlated with fuel age."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Query Component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System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Response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"All TRIGAs"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DeepLynx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23 facilities in registry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"Operating above 900 kW in Q3 2034"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Neutron OS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Time-series filter → 18 facilities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"Xenon poisoning events"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Neutron OS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Pattern detection in power history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"Correlated with fuel age"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DeepLynx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Fuel element installation dates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Synthesis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AI Agent (MCP to both)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"Xenon events 3.2x more frequent in fuel &gt;15 years. Trend significant at p&lt;0.01."</w:t>
            </w:r>
          </w:p>
        </w:tc>
      </w:tr>
    </w:tbl>
    <w:p/>
    <w:p>
      <w:pPr>
        <w:pStyle w:val="Heading2"/>
        <w:spacing w:after="80" w:before="240"/>
      </w:pPr>
      <w:bookmarkStart w:id="12" w:name="The_Path_Forward__Collaboration__Not_Com"/>
      <w:r>
        <w:t>The Path Forward: Collaboration, Not Competition</w:t>
      </w:r>
      <w:bookmarkEnd w:id="12"/>
    </w:p>
    <w:p>
      <w:pPr>
        <w:pStyle w:val="Heading3"/>
        <w:spacing w:after="80" w:before="240"/>
      </w:pPr>
      <w:bookmarkStart w:id="13" w:name="Phase_1__Ontology_Alignment__Now_-_Q2_20"/>
      <w:r>
        <w:t>Phase 1: Ontology Alignment (Now - Q2 2026)</w:t>
      </w:r>
      <w:bookmarkEnd w:id="1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Deliverable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Owner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Benefit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Shared TRIGA vocabulary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Same component names across systems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Cross-reference schema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Neutron OS data links to DeepLynx entities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Documentation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Published standard others can adopt</w:t>
            </w:r>
          </w:p>
        </w:tc>
      </w:tr>
    </w:tbl>
    <w:p/>
    <w:p>
      <w:pPr>
        <w:pStyle w:val="Heading3"/>
        <w:spacing w:after="80" w:before="240"/>
      </w:pPr>
      <w:bookmarkStart w:id="14" w:name="Phase_2__MCP_Integration__Q3-Q4_2026_"/>
      <w:r>
        <w:t>Phase 2: MCP Integration (Q3-Q4 2026)</w:t>
      </w:r>
      <w:bookmarkEnd w:id="1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Deliverable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Owner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Benefit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DeepLynx MCP Server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AI agents query plant structure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Neutron OS MCP Server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AI agents query operational data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Cross-system agent demo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"First nuclear AI assistant with full context"</w:t>
            </w:r>
          </w:p>
        </w:tc>
      </w:tr>
    </w:tbl>
    <w:p/>
    <w:p>
      <w:pPr>
        <w:pStyle w:val="Heading3"/>
        <w:spacing w:after="80" w:before="240"/>
      </w:pPr>
      <w:bookmarkStart w:id="15" w:name="Phase_3__Event_Integration__2027_"/>
      <w:r>
        <w:t>Phase 3: Event Integration (2027)</w:t>
      </w:r>
      <w:bookmarkEnd w:id="15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Deliverable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Owner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Benefit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Config change events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INL → UT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Neutron OS models stay current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Operational event feed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UT → INL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DeepLynx knows what's actually happening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Shared data lake access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Cross-query without data duplication</w:t>
            </w:r>
          </w:p>
        </w:tc>
      </w:tr>
    </w:tbl>
    <w:p/>
    <w:p>
      <w:pPr>
        <w:pStyle w:val="Heading3"/>
        <w:spacing w:after="80" w:before="240"/>
      </w:pPr>
      <w:bookmarkStart w:id="16" w:name="Phase_4__Fleet_Deployment__2028__"/>
      <w:r>
        <w:t>Phase 4: Fleet Deployment (2028+)</w:t>
      </w:r>
      <w:bookmarkEnd w:id="1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Deliverable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Owner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Benefit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Reference architecture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"How to deploy DT infrastructure for new reactors"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NEUP/ARPA-E proposals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Funding for advanced capabilities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Commercial partnerships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Vendor adoption of the integrated stack</w:t>
            </w:r>
          </w:p>
        </w:tc>
      </w:tr>
    </w:tbl>
    <w:p/>
    <w:p>
      <w:pPr>
        <w:pStyle w:val="Heading2"/>
        <w:spacing w:after="80" w:before="240"/>
      </w:pPr>
      <w:bookmarkStart w:id="17" w:name="Why_This_Matters_for_INL"/>
      <w:r>
        <w:t>Why This Matters for INL</w:t>
      </w:r>
      <w:bookmarkEnd w:id="1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Strategic Interest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How This Collaboration Advances It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DeepLynx adoption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Neutron OS becomes a pathway, not a competitor—"use DeepLynx for structure, add Neutron OS for operations"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NRIC mission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Reference architecture for digital infrastructure at new reactor demos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NE-5 leadership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DOE's nuclear data strategy includes both structural and operational data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Industry influence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Integrated stack becomes the standard, not a fragmented landscape</w:t>
            </w:r>
          </w:p>
        </w:tc>
      </w:tr>
    </w:tbl>
    <w:p/>
    <w:p>
      <w:pPr>
        <w:pStyle w:val="Heading2"/>
        <w:spacing w:after="80" w:before="240"/>
      </w:pPr>
      <w:bookmarkStart w:id="18" w:name="Why_This_Matters_for_UT"/>
      <w:r>
        <w:t>Why This Matters for UT</w:t>
      </w:r>
      <w:bookmarkEnd w:id="18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Strategic Interest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How This Collaboration Advances It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Research credibility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Partnership with INL's production system validates approach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Student placement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Graduates know both systems = more employable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Funding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Joint proposals stronger than solo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Impact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Technology reaches production, not just publications</w:t>
            </w:r>
          </w:p>
        </w:tc>
      </w:tr>
    </w:tbl>
    <w:p/>
    <w:p>
      <w:pPr>
        <w:pStyle w:val="Heading2"/>
        <w:spacing w:after="80" w:before="240"/>
      </w:pPr>
      <w:bookmarkStart w:id="19" w:name="The_Ask"/>
      <w:r>
        <w:t>The Ask</w:t>
      </w:r>
      <w:bookmarkEnd w:id="19"/>
    </w:p>
    <w:p>
      <w:pPr>
        <w:spacing w:after="120" w:before="0"/>
      </w:pPr>
      <w:r>
        <w:t xml:space="preserve">We're not asking INL to adopt Neutron OS, and we're not asking to replace DeepLynx. We're proposing that </w:t>
      </w:r>
      <w:r>
        <w:rPr>
          <w:b/>
        </w:rPr>
        <w:t>both systems become more valuable by working together</w:t>
      </w:r>
      <w:r>
        <w:t>.</w:t>
      </w:r>
    </w:p>
    <w:p>
      <w:pPr>
        <w:spacing w:after="120" w:before="0"/>
      </w:pPr>
      <w:r>
        <w:rPr>
          <w:b/>
        </w:rPr>
        <w:t>Immediate next steps:</w:t>
      </w:r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t>Technical deep-dive: Map DeepLynx and Neutron OS data models for integration points</w:t>
      </w:r>
    </w:p>
    <w:p>
      <w:pPr>
        <w:pStyle w:val="ListNumber"/>
        <w:spacing w:after="40" w:before="0"/>
      </w:pPr>
      <w:r>
        <w:t>MCP exploration: Could DeepLynx expose an MCP server for AI agent queries?</w:t>
      </w:r>
    </w:p>
    <w:p>
      <w:pPr>
        <w:pStyle w:val="ListNumber"/>
        <w:spacing w:after="40" w:before="0"/>
      </w:pPr>
      <w:r>
        <w:t>Pilot scope: Define a small cross-system demo (e.g., TRIGA component + time-series query)</w:t>
      </w:r>
    </w:p>
    <w:p>
      <w:pPr>
        <w:spacing w:after="120" w:before="0"/>
      </w:pPr>
      <w:r>
        <w:rPr>
          <w:b/>
        </w:rPr>
        <w:t>The opportunity:</w:t>
      </w:r>
      <w:r>
        <w:t xml:space="preserve"> Define the data architecture for nuclear's commercial future—together.</w:t>
      </w:r>
    </w:p>
    <w:p>
      <w:pPr>
        <w:pStyle w:val="Heading2"/>
        <w:spacing w:after="80" w:before="240"/>
      </w:pPr>
      <w:bookmarkStart w:id="20" w:name="Contact"/>
      <w:r>
        <w:t>Contact</w:t>
      </w:r>
      <w:bookmarkEnd w:id="20"/>
    </w:p>
    <w:p>
      <w:pPr>
        <w:spacing w:after="120" w:before="0"/>
      </w:pPr>
      <w:r>
        <w:rPr>
          <w:b/>
        </w:rPr>
        <w:t>Ben Booth</w:t>
      </w:r>
      <w:r>
        <w:t xml:space="preserve">   UT Austin Computational Nuclear Engineering   ben.booth@utexas.edu</w:t>
      </w:r>
    </w:p>
    <w:p>
      <w:pPr>
        <w:spacing w:after="120" w:before="0"/>
      </w:pPr>
      <w:r>
        <w:rPr>
          <w:b/>
        </w:rPr>
        <w:t>Kevin Clarno</w:t>
      </w:r>
      <w:r>
        <w:t xml:space="preserve">   UT Austin, Cockrell Chair   kevin.clarno@utexas.edu</w:t>
      </w:r>
    </w:p>
    <w:p>
      <w:pPr>
        <w:spacing w:after="120" w:before="0"/>
      </w:pPr>
      <w:r>
        <w:rPr>
          <w:i/>
        </w:rPr>
        <w:t>Vision document for INL collaboration discussion.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