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Hyperledger_Use_Cases_for_Nuclear_Domain"/>
      <w:r>
        <w:t>Hyperledger Use Cases for Nuclear Domain</w:t>
      </w:r>
      <w:bookmarkEnd w:id="0"/>
    </w:p>
    <w:p>
      <w:pPr>
        <w:spacing w:after="120" w:before="0"/>
      </w:pPr>
      <w:r>
        <w:rPr>
          <w:b/>
        </w:rPr>
        <w:t>Distributed Ledger Applications for Safety, Security, and Compliance</w:t>
      </w:r>
    </w:p>
    <w:p>
      <w:pPr>
        <w:pStyle w:val="Quote"/>
        <w:spacing w:after="120" w:before="0"/>
      </w:pPr>
      <w:r>
        <w:rPr>
          <w:b/>
        </w:rPr>
        <w:t>Document Status:</w:t>
      </w:r>
      <w:r>
        <w:t xml:space="preserve"> Research / Vision</w:t>
        <w:br/>
      </w:r>
      <w:r>
        <w:rPr>
          <w:b/>
        </w:rPr>
        <w:t>Date:</w:t>
      </w:r>
      <w:r>
        <w:t xml:space="preserve"> January 15, 2026</w:t>
        <w:br/>
      </w:r>
      <w:r>
        <w:rPr>
          <w:b/>
        </w:rPr>
        <w:t>Author:</w:t>
      </w:r>
      <w:r>
        <w:t xml:space="preserve"> UT Computational NE Team</w:t>
      </w:r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 xml:space="preserve">Blockchain technology provides </w:t>
      </w:r>
      <w:r>
        <w:rPr>
          <w:b/>
        </w:rPr>
        <w:t>cryptographic proof of multi-party consensus</w:t>
      </w:r>
      <w:r>
        <w:t>—exactly what's needed when multiple organizations must agree on the truth of a record. The nuclear industry has numerous natural use cases where this capability addresses real regulatory, safety, and security needs.</w:t>
      </w:r>
    </w:p>
    <w:p>
      <w:pPr>
        <w:spacing w:after="120" w:before="0"/>
      </w:pPr>
      <w:r>
        <w:t>This document outlines use cases where Hyperledger Fabric could provide value beyond simple database audit trails.</w:t>
      </w:r>
    </w:p>
    <w:p>
      <w:pPr>
        <w:pStyle w:val="Heading2"/>
        <w:spacing w:after="80" w:before="240"/>
      </w:pPr>
      <w:bookmarkStart w:id="2" w:name="bm_1__Why_Blockchain_for_Nuclear_"/>
      <w:r>
        <w:t>1. Why Blockchain for Nuclear?</w:t>
      </w:r>
      <w:bookmarkEnd w:id="2"/>
    </w:p>
    <w:p>
      <w:pPr>
        <w:pStyle w:val="Heading3"/>
        <w:spacing w:after="80" w:before="240"/>
      </w:pPr>
      <w:bookmarkStart w:id="3" w:name="The_Core_Value_Proposition"/>
      <w:r>
        <w:t>The Core Value Proposition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Single-Party Problem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Multi-Party Problem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"Did I tamper with my own records?"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"Did ANY party tamper with shared records?"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Solution:</w:t>
            </w:r>
            <w:r>
              <w:rPr>
                <w:rFonts w:ascii="Calibri" w:hAnsi="Calibri"/>
              </w:rPr>
              <w:t xml:space="preserve"> Ledger tables, content hashing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Solution:</w:t>
            </w:r>
            <w:r>
              <w:rPr>
                <w:rFonts w:ascii="Calibri" w:hAnsi="Calibri"/>
              </w:rPr>
              <w:t xml:space="preserve"> Distributed consensus (blockchain)</w:t>
            </w:r>
          </w:p>
        </w:tc>
      </w:tr>
    </w:tbl>
    <w:p/>
    <w:p>
      <w:pPr>
        <w:spacing w:after="120" w:before="0"/>
      </w:pPr>
      <w:r>
        <w:t>Blockchain becomes valuable when:</w:t>
      </w:r>
    </w:p>
    <w:p>
      <w:pPr>
        <w:pStyle w:val="ListBullet"/>
        <w:spacing w:after="40" w:before="0"/>
      </w:pPr>
      <w:r>
        <w:t>Multiple independent parties must trust the same data</w:t>
      </w:r>
    </w:p>
    <w:p>
      <w:pPr>
        <w:pStyle w:val="ListBullet"/>
        <w:spacing w:after="40" w:before="0"/>
      </w:pPr>
      <w:r>
        <w:t>No single party should be able to unilaterally alter history</w:t>
      </w:r>
    </w:p>
    <w:p>
      <w:pPr>
        <w:pStyle w:val="ListBullet"/>
        <w:spacing w:after="40" w:before="0"/>
      </w:pPr>
      <w:r>
        <w:t>Regulatory bodies need proof that stakeholders agree</w:t>
      </w:r>
    </w:p>
    <w:p>
      <w:pPr>
        <w:pStyle w:val="Heading3"/>
        <w:spacing w:after="80" w:before="240"/>
      </w:pPr>
      <w:bookmarkStart w:id="4" w:name="Nuclear_Industry_Characteristics_That_Fi"/>
      <w:r>
        <w:t>Nuclear Industry Characteristics That Fit Blockchain</w:t>
      </w:r>
      <w:bookmarkEnd w:id="4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High regulatory scrutiny</w:t>
      </w:r>
      <w:r>
        <w:t xml:space="preserve"> → Need provable audit trails</w:t>
      </w:r>
    </w:p>
    <w:p>
      <w:pPr>
        <w:pStyle w:val="ListNumber"/>
        <w:spacing w:after="40" w:before="0"/>
      </w:pPr>
      <w:r>
        <w:rPr>
          <w:b/>
        </w:rPr>
        <w:t>Multi-party interactions</w:t>
      </w:r>
      <w:r>
        <w:t xml:space="preserve"> → Facilities, NRC, DOE, vendors, labs</w:t>
      </w:r>
    </w:p>
    <w:p>
      <w:pPr>
        <w:pStyle w:val="ListNumber"/>
        <w:spacing w:after="40" w:before="0"/>
      </w:pPr>
      <w:r>
        <w:rPr>
          <w:b/>
        </w:rPr>
        <w:t>Safety-critical records</w:t>
      </w:r>
      <w:r>
        <w:t xml:space="preserve"> → Cannot afford tampering</w:t>
      </w:r>
    </w:p>
    <w:p>
      <w:pPr>
        <w:pStyle w:val="ListNumber"/>
        <w:spacing w:after="40" w:before="0"/>
      </w:pPr>
      <w:r>
        <w:rPr>
          <w:b/>
        </w:rPr>
        <w:t>Long retention requirements</w:t>
      </w:r>
      <w:r>
        <w:t xml:space="preserve"> → 40+ year plant life, decommissioning records</w:t>
      </w:r>
    </w:p>
    <w:p>
      <w:pPr>
        <w:pStyle w:val="ListNumber"/>
        <w:spacing w:after="40" w:before="0"/>
      </w:pPr>
      <w:r>
        <w:rPr>
          <w:b/>
        </w:rPr>
        <w:t>International cooperation</w:t>
      </w:r>
      <w:r>
        <w:t xml:space="preserve"> → IAEA safeguards, cross-border material tracking</w:t>
      </w:r>
    </w:p>
    <w:p>
      <w:pPr>
        <w:pStyle w:val="Heading2"/>
        <w:spacing w:after="80" w:before="240"/>
      </w:pPr>
      <w:bookmarkStart w:id="5" w:name="bm_2__High-Value_Use_Cases"/>
      <w:r>
        <w:t>2. High-Value Use Cases</w:t>
      </w:r>
      <w:bookmarkEnd w:id="5"/>
    </w:p>
    <w:p>
      <w:pPr>
        <w:pStyle w:val="Heading3"/>
        <w:spacing w:after="80" w:before="240"/>
      </w:pPr>
      <w:bookmarkStart w:id="6" w:name="bm_2_1_Nuclear_Material_Accountability__"/>
      <w:r>
        <w:t>2.1 Nuclear Material Accountability (IAEA/NRC Safeguards)</w:t>
      </w:r>
      <w:bookmarkEnd w:id="6"/>
    </w:p>
    <w:p>
      <w:pPr>
        <w:spacing w:after="120" w:before="0"/>
      </w:pPr>
      <w:r>
        <w:rPr>
          <w:b/>
        </w:rPr>
        <w:t>Problem:</w:t>
      </w:r>
      <w:r>
        <w:t xml:space="preserve"> Special Nuclear Material (SNM) transfers between facilities require both sender and receiver to agree on quantities. Discrepancies trigger investigations.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forms (DOE/NRC 741), manual reconciliation, disputes resolved by audit.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NUCLEAR MATERIAL TRANSFER LEDGER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TRANSFER: 10kg LEU from Y-12 → ORNL                                              │</w:t>
        <w:br/>
        <w:t>│                                                                                     │</w:t>
        <w:br/>
        <w:t>│   ┌────────────────┐                              ┌────────────────┐               │</w:t>
        <w:br/>
        <w:t>│   │    Y-12        │                              │     ORNL       │               │</w:t>
        <w:br/>
        <w:t>│   │   (Sender)     │                              │   (Receiver)   │               │</w:t>
        <w:br/>
        <w:t>│   │                │                              │                │               │</w:t>
        <w:br/>
        <w:t>│   │  Signs: 10.0kg │ ──── Blockchain Record ───▶ │  Signs: 10.0kg │               │</w:t>
        <w:br/>
        <w:t>│   │  Enrichment: X │                              │  Enrichment: X │               │</w:t>
        <w:br/>
        <w:t>│   │  Timestamp: T  │                              │  Timestamp: T  │               │</w:t>
        <w:br/>
        <w:t>│   └────────────────┘                              └────────────────┘               │</w:t>
        <w:br/>
        <w:t>│                                                                                     │</w:t>
        <w:br/>
        <w:t>│   CONSENSUS: Both parties cryptographically attest to same quantities               │</w:t>
        <w:br/>
        <w:t>│   BENEFIT: Disputes impossible if both signed; discrepancies flagged immediately   │</w:t>
        <w:br/>
        <w:t>│   AUDITOR: NRC/IAEA can verify without trusting either party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DOE facilities, commercial plants, NRC, IAEA </w:t>
      </w:r>
      <w:r>
        <w:rPr>
          <w:b/>
        </w:rPr>
        <w:t>Regulatory Alignment:</w:t>
      </w:r>
      <w:r>
        <w:t xml:space="preserve"> 10 CFR 74 (Material Control &amp; Accounting)</w:t>
      </w:r>
    </w:p>
    <w:p>
      <w:pPr>
        <w:pStyle w:val="Heading3"/>
        <w:spacing w:after="80" w:before="240"/>
      </w:pPr>
      <w:bookmarkStart w:id="7" w:name="bm_2_2_Operator_Qualification___Training"/>
      <w:r>
        <w:t>2.2 Operator Qualification &amp; Training Records</w:t>
      </w:r>
      <w:bookmarkEnd w:id="7"/>
    </w:p>
    <w:p>
      <w:pPr>
        <w:spacing w:after="120" w:before="0"/>
      </w:pPr>
      <w:r>
        <w:rPr>
          <w:b/>
        </w:rPr>
        <w:t>Problem:</w:t>
      </w:r>
      <w:r>
        <w:t xml:space="preserve"> NRC requires proof that operators are qualified. Training happens at multiple facilities (simulators, classroom, OJT). Records must be verifiable for decades.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certificates, facility databases, manual verification during inspections.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OPERATOR QUALIFICATION CHAIN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OPERATOR: John Smith (License #RO-12345)                                         │</w:t>
        <w:br/>
        <w:t>│                                                                                     │</w:t>
        <w:br/>
        <w:t>│   ┌──────────────┐    ┌──────────────┐    ┌──────────────┐    ┌──────────────┐    │</w:t>
        <w:br/>
        <w:t>│   │  INPO        │    │  Simulator   │    │   Plant A    │    │    NRC       │    │</w:t>
        <w:br/>
        <w:t>│   │  Training    │    │   Facility   │    │    OJT       │    │   Exam       │    │</w:t>
        <w:br/>
        <w:t>│   │              │    │              │    │              │    │              │    │</w:t>
        <w:br/>
        <w:t>│   │ Signs:       │    │ Signs:       │    │ Signs:       │    │ Signs:       │    │</w:t>
        <w:br/>
        <w:t>│   │ Completed    │───▶│ 40 hrs sim   │───▶│ 6 months     │───▶│ License      │    │</w:t>
        <w:br/>
        <w:t>│   │ theory exam  │    │ time logged  │    │ watch qual   │    │ granted      │    │</w:t>
        <w:br/>
        <w:t>│   └──────────────┘    └──────────────┘    └──────────────┘    └──────────────┘    │</w:t>
        <w:br/>
        <w:t>│                                                                                     │</w:t>
        <w:br/>
        <w:t>│   QUERY: "Prove John Smith was qualified on Jan 1, 2025"                           │</w:t>
        <w:br/>
        <w:t>│   RESPONSE: Chain of signed records from all training providers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Training centers, utilities, NRC, INPO </w:t>
      </w:r>
      <w:r>
        <w:rPr>
          <w:b/>
        </w:rPr>
        <w:t>Regulatory Alignment:</w:t>
      </w:r>
      <w:r>
        <w:t xml:space="preserve"> 10 CFR 55 (Operator Licenses)</w:t>
      </w:r>
    </w:p>
    <w:p>
      <w:pPr>
        <w:pStyle w:val="Heading3"/>
        <w:spacing w:after="80" w:before="240"/>
      </w:pPr>
      <w:bookmarkStart w:id="8" w:name="bm_2_3_Safety-Critical_Component_Supply_"/>
      <w:r>
        <w:t>2.3 Safety-Critical Component Supply Chain</w:t>
      </w:r>
      <w:bookmarkEnd w:id="8"/>
    </w:p>
    <w:p>
      <w:pPr>
        <w:spacing w:after="120" w:before="0"/>
      </w:pPr>
      <w:r>
        <w:rPr>
          <w:b/>
        </w:rPr>
        <w:t>Problem:</w:t>
      </w:r>
      <w:r>
        <w:t xml:space="preserve"> Counterfeit parts have entered nuclear supply chains. Safety components require full provenance tracing from raw material to installation.</w:t>
      </w:r>
    </w:p>
    <w:p>
      <w:pPr>
        <w:spacing w:after="120" w:before="0"/>
      </w:pPr>
      <w:r>
        <w:rPr>
          <w:b/>
        </w:rPr>
        <w:t>Current State:</w:t>
      </w:r>
      <w:r>
        <w:t xml:space="preserve"> Paper QA records, vendor audits, sampling inspections.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COMPONENT PROVENANCE CHAIN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COMPONENT: Safety Relief Valve (SN: SRV-2024-00142)                              │</w:t>
        <w:br/>
        <w:t>│                                                                                     │</w:t>
        <w:br/>
        <w:t>│   Raw Material ─▶ Forging ─▶ Machining ─▶ Testing ─▶ QA Cert ─▶ Installation       │</w:t>
        <w:br/>
        <w:t>│                                                                                     │</w:t>
        <w:br/>
        <w:t>│   Each step signed by responsible party:                                            │</w:t>
        <w:br/>
        <w:t>│                                                                                     │</w:t>
        <w:br/>
        <w:t>│   ┌─────────────┐  ┌─────────────┐  ┌─────────────┐  ┌─────────────┐              │</w:t>
        <w:br/>
        <w:t>│   │ Steel Mill  │  │ Forge Inc   │  │ Machine Co  │  │  QA Lab     │              │</w:t>
        <w:br/>
        <w:t>│   │             │  │             │  │             │  │             │              │</w:t>
        <w:br/>
        <w:t>│   │ Heat: H1234 │  │ Lot: F5678  │  │ Part: M9012 │  │ Cert: Q3456 │              │</w:t>
        <w:br/>
        <w:t>│   │ Chem comp ✓ │  │ Grain str ✓ │  │ Dims ✓      │  │ Hydro ✓     │              │</w:t>
        <w:br/>
        <w:t>│   │ Signed      │  │ Signed      │  │ Signed      │  │ Signed      │              │</w:t>
        <w:br/>
        <w:t>│   └─────────────┘  └─────────────┘  └─────────────┘  └─────────────┘              │</w:t>
        <w:br/>
        <w:t>│                                                                                     │</w:t>
        <w:br/>
        <w:t>│   COUNTERFEIT DETECTION: If any link is missing or unsigned, part is rejected      │</w:t>
        <w:br/>
        <w:t>│   RECALL CAPABILITY: Trace all parts from a suspect heat/lot instantly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Material suppliers, manufacturers, QA labs, utilities, NRC </w:t>
      </w:r>
      <w:r>
        <w:rPr>
          <w:b/>
        </w:rPr>
        <w:t>Regulatory Alignment:</w:t>
      </w:r>
      <w:r>
        <w:t xml:space="preserve"> 10 CFR 50 Appendix B (Quality Assurance), ASME NQA-1</w:t>
      </w:r>
    </w:p>
    <w:p>
      <w:pPr>
        <w:pStyle w:val="Heading3"/>
        <w:spacing w:after="80" w:before="240"/>
      </w:pPr>
      <w:bookmarkStart w:id="9" w:name="bm_2_4_Digital_Twin_Model_Validation_Con"/>
      <w:r>
        <w:t>2.4 Digital Twin Model Validation Consensus</w:t>
      </w:r>
      <w:bookmarkEnd w:id="9"/>
    </w:p>
    <w:p>
      <w:pPr>
        <w:spacing w:after="120" w:before="0"/>
      </w:pPr>
      <w:r>
        <w:rPr>
          <w:b/>
        </w:rPr>
        <w:t>Problem:</w:t>
      </w:r>
      <w:r>
        <w:t xml:space="preserve"> When digital twin predictions are used for operational decisions (simulate-to-operate), regulators need assurance that models have been validated. Multiple parties may need to attest.</w:t>
      </w:r>
    </w:p>
    <w:p>
      <w:pPr>
        <w:spacing w:after="120" w:before="0"/>
      </w:pPr>
      <w:r>
        <w:rPr>
          <w:b/>
        </w:rPr>
        <w:t>Current State:</w:t>
      </w:r>
      <w:r>
        <w:t xml:space="preserve"> V&amp;V reports, audit files, no standardized proof mechanism.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MODEL VALIDATION ATTESTATION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MODEL: NETL_TRIGA_TH_v2.3 (thermal-hydraulic digital twin)                       │</w:t>
        <w:br/>
        <w:t>│                                                                                     │</w:t>
        <w:br/>
        <w:t>│   VALIDATION RECORD: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 │   Validation Dataset: 2024-Q3 steady-state operations (1,247 timesteps)     │  │</w:t>
        <w:br/>
        <w:t>│   │   Metrics: RMSE &lt; 2°C for all fuel temps, &lt; 5 kW for power                  │  │</w:t>
        <w:br/>
        <w:t>│   │                                                                              │  │</w:t>
        <w:br/>
        <w:t>│   │   Attestations:                                                              │  │</w:t>
        <w:br/>
        <w:t>│   │   ✓ Model Developer (UT Austin) - Jan 10, 2026                              │  │</w:t>
        <w:br/>
        <w:t>│   │   ✓ Independent Reviewer (INL) - Jan 12, 2026                               │  │</w:t>
        <w:br/>
        <w:t>│   │   ✓ Facility Operator (NETL) - Jan 14, 2026                                 │  │</w:t>
        <w:br/>
        <w:t>│   │                                                                              │  │</w:t>
        <w:br/>
        <w:t>│   │   Blockchain Hash: 0x7f3a...                                                 │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│</w:t>
        <w:br/>
        <w:t>│   NRC QUERY: "Is this model approved for use in control decisions?"                │</w:t>
        <w:br/>
        <w:t>│   RESPONSE: Three independent parties attested to validation metrics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Model developers, utilities, independent reviewers, NRC </w:t>
      </w:r>
      <w:r>
        <w:rPr>
          <w:b/>
        </w:rPr>
        <w:t>Regulatory Alignment:</w:t>
      </w:r>
      <w:r>
        <w:t xml:space="preserve"> Future digital twin regulations (none yet—opportunity to lead)</w:t>
      </w:r>
    </w:p>
    <w:p>
      <w:pPr>
        <w:pStyle w:val="Heading3"/>
        <w:spacing w:after="80" w:before="240"/>
      </w:pPr>
      <w:bookmarkStart w:id="10" w:name="bm_2_5_Cross-Facility_Research_Data_Shar"/>
      <w:r>
        <w:t>2.5 Cross-Facility Research Data Sharing</w:t>
      </w:r>
      <w:bookmarkEnd w:id="10"/>
    </w:p>
    <w:p>
      <w:pPr>
        <w:spacing w:after="120" w:before="0"/>
      </w:pPr>
      <w:r>
        <w:rPr>
          <w:b/>
        </w:rPr>
        <w:t>Problem:</w:t>
      </w:r>
      <w:r>
        <w:t xml:space="preserve"> When reactors share data for benchmarking or ML training, all parties need assurance that data hasn't been altered. Publications require reproducibility.</w:t>
      </w:r>
    </w:p>
    <w:p>
      <w:pPr>
        <w:spacing w:after="120" w:before="0"/>
      </w:pPr>
      <w:r>
        <w:rPr>
          <w:b/>
        </w:rPr>
        <w:t>Current State:</w:t>
      </w:r>
      <w:r>
        <w:t xml:space="preserve"> Data files emailed, no integrity verification, trust-based.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FEDERATED RESEARCH DATA LEDGER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DATASET: Multi-Site TRIGA Benchmark (2024)                                        │</w:t>
        <w:br/>
        <w:t>│                                                                                     │</w:t>
        <w:br/>
        <w:t>│   Contributing Facilities:                                                          │</w:t>
        <w:br/>
        <w:t>│   ┌────────────────┐  ┌────────────────┐  ┌────────────────┐                       │</w:t>
        <w:br/>
        <w:t>│   │  UT Austin     │  │  INL NRAD      │  │  Penn State    │                       │</w:t>
        <w:br/>
        <w:t>│   │                │  │                │  │                │                       │</w:t>
        <w:br/>
        <w:t>│   │  1,000 records │  │  1,200 records │  │  800 records   │                       │</w:t>
        <w:br/>
        <w:t>│   │  Hash: 0xa1... │  │  Hash: 0xb2... │  │  Hash: 0xc3... │                       │</w:t>
        <w:br/>
        <w:t>│   │  Signed ✓      │  │  Signed ✓      │  │  Signed ✓      │                       │</w:t>
        <w:br/>
        <w:t>│   └────────────────┘  └────────────────┘  └────────────────┘                       │</w:t>
        <w:br/>
        <w:t>│                                                                                     │</w:t>
        <w:br/>
        <w:t>│   COMBINED DATASET HASH: 0xd4e5f6...                                               │</w:t>
        <w:br/>
        <w:t>│                                                                                     │</w:t>
        <w:br/>
        <w:t>│   PUBLICATION REFERENCE: "Data integrity verified via Hyperledger. See             │</w:t>
        <w:br/>
        <w:t>│   blockchain record 0xd4e5f6 for provenance chain."                                │</w:t>
        <w:br/>
        <w:t>│                                                                                     │</w:t>
        <w:br/>
        <w:t>│   REPRODUCIBILITY: Any researcher can verify they have the exact dataset           │</w:t>
        <w:br/>
        <w:t>│   used in the published analysis.              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University reactors, national labs, research collaborators </w:t>
      </w:r>
      <w:r>
        <w:rPr>
          <w:b/>
        </w:rPr>
        <w:t>Alignment:</w:t>
      </w:r>
      <w:r>
        <w:t xml:space="preserve"> NSF data management requirements, journal reproducibility standards</w:t>
      </w:r>
    </w:p>
    <w:p>
      <w:pPr>
        <w:pStyle w:val="Heading3"/>
        <w:spacing w:after="80" w:before="240"/>
      </w:pPr>
      <w:bookmarkStart w:id="11" w:name="bm_2_6_Emergency_Event_Timeline"/>
      <w:r>
        <w:t>2.6 Emergency Event Timeline</w:t>
      </w:r>
      <w:bookmarkEnd w:id="11"/>
    </w:p>
    <w:p>
      <w:pPr>
        <w:spacing w:after="120" w:before="0"/>
      </w:pPr>
      <w:r>
        <w:rPr>
          <w:b/>
        </w:rPr>
        <w:t>Problem:</w:t>
      </w:r>
      <w:r>
        <w:t xml:space="preserve"> After an incident, multiple parties (facility, NRC, state, first responders) have different logs. Establishing authoritative timeline is critical and contentious.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INCIDENT TIMELINE LEDGER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EVENT: Unexpected scram at 14:23:07 UTC                                           │</w:t>
        <w:br/>
        <w:t>│                                                                                     │</w:t>
        <w:br/>
        <w:t>│   Timeline (all entries timestamped and signed at source):                          │</w:t>
        <w:br/>
        <w:t>│                                                                                     │</w:t>
        <w:br/>
        <w:t>│   14:23:07  [PLANT]     Reactor trip signal generated                              │</w:t>
        <w:br/>
        <w:t>│   14:23:08  [PLANT]     All control rods inserted                                  │</w:t>
        <w:br/>
        <w:t>│   14:23:15  [PLANT]     Operators confirm subcritical                              │</w:t>
        <w:br/>
        <w:t>│   14:23:42  [STATE]     Notification received                                      │</w:t>
        <w:br/>
        <w:t>│   14:24:01  [NRC OPS]   Event logged in NOED                                       │</w:t>
        <w:br/>
        <w:t>│   14:31:00  [PLANT]     Initial cause: spurious signal from CRD-3                  │</w:t>
        <w:br/>
        <w:t>│   ...                                                                               │</w:t>
        <w:br/>
        <w:t>│                                                                                     │</w:t>
        <w:br/>
        <w:t>│   POST-EVENT: All parties have identical, tamper-proof timeline                    │</w:t>
        <w:br/>
        <w:t>│   No disputes about "who knew what when"       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0"/>
      </w:pPr>
      <w:r>
        <w:rPr>
          <w:b/>
        </w:rPr>
        <w:t>Participants:</w:t>
      </w:r>
      <w:r>
        <w:t xml:space="preserve"> Facility, NRC, state regulators, FEMA, first responders </w:t>
      </w:r>
      <w:r>
        <w:rPr>
          <w:b/>
        </w:rPr>
        <w:t>Regulatory Alignment:</w:t>
      </w:r>
      <w:r>
        <w:t xml:space="preserve"> 10 CFR 50.72 (Immediate Notification)</w:t>
      </w:r>
    </w:p>
    <w:p>
      <w:pPr>
        <w:pStyle w:val="Heading3"/>
        <w:spacing w:after="80" w:before="240"/>
      </w:pPr>
      <w:bookmarkStart w:id="12" w:name="bm_2_7_Decommissioning_Records"/>
      <w:r>
        <w:t>2.7 Decommissioning Records</w:t>
      </w:r>
      <w:bookmarkEnd w:id="12"/>
    </w:p>
    <w:p>
      <w:pPr>
        <w:spacing w:after="120" w:before="0"/>
      </w:pPr>
      <w:r>
        <w:rPr>
          <w:b/>
        </w:rPr>
        <w:t>Problem:</w:t>
      </w:r>
      <w:r>
        <w:t xml:space="preserve"> Nuclear plants operate 40-60+ years. Records from construction must be preserved and verifiable for decommissioning. Organizations change, people retire, systems migrate.</w:t>
      </w:r>
    </w:p>
    <w:p>
      <w:pPr>
        <w:spacing w:after="120" w:before="0"/>
      </w:pPr>
      <w:r>
        <w:rPr>
          <w:b/>
        </w:rPr>
        <w:t>Current State:</w:t>
      </w:r>
      <w:r>
        <w:t xml:space="preserve"> Microfilm, legacy databases, document warehouses.</w:t>
      </w:r>
    </w:p>
    <w:p>
      <w:pPr>
        <w:spacing w:after="120" w:before="0"/>
      </w:pPr>
      <w:r>
        <w:rPr>
          <w:b/>
        </w:rPr>
        <w:t>Blockchain Solution:</w:t>
      </w:r>
    </w:p>
    <w:p>
      <w:pPr>
        <w:pStyle w:val="ListBullet"/>
        <w:spacing w:after="40" w:before="0"/>
      </w:pPr>
      <w:r>
        <w:t>Hash critical documents at creation</w:t>
      </w:r>
    </w:p>
    <w:p>
      <w:pPr>
        <w:pStyle w:val="ListBullet"/>
        <w:spacing w:after="40" w:before="0"/>
      </w:pPr>
      <w:r>
        <w:t>Periodically re-attest that records still exist and match original hashes</w:t>
      </w:r>
    </w:p>
    <w:p>
      <w:pPr>
        <w:pStyle w:val="ListBullet"/>
        <w:spacing w:after="40" w:before="0"/>
      </w:pPr>
      <w:r>
        <w:t>Survives organizational changes (consensus doesn't depend on single party)</w:t>
      </w:r>
    </w:p>
    <w:p>
      <w:pPr>
        <w:spacing w:after="120" w:before="0"/>
      </w:pPr>
      <w:r>
        <w:rPr>
          <w:b/>
        </w:rPr>
        <w:t>Regulatory Alignment:</w:t>
      </w:r>
      <w:r>
        <w:t xml:space="preserve"> 10 CFR 50.75 (Decommissioning Planning)</w:t>
      </w:r>
    </w:p>
    <w:p>
      <w:pPr>
        <w:pStyle w:val="Heading2"/>
        <w:spacing w:after="80" w:before="240"/>
      </w:pPr>
      <w:bookmarkStart w:id="13" w:name="bm_3__Architecture__Hyperledger_Fabric_f"/>
      <w:r>
        <w:t>3. Architecture: Hyperledger Fabric for Nuclear</w:t>
      </w:r>
      <w:bookmarkEnd w:id="13"/>
    </w:p>
    <w:p>
      <w:pPr>
        <w:pStyle w:val="Heading3"/>
        <w:spacing w:after="80" w:before="240"/>
      </w:pPr>
      <w:bookmarkStart w:id="14" w:name="Why_Hyperledger_Fabric__Not_Public_Block"/>
      <w:r>
        <w:t>Why Hyperledger Fabric (Not Public Blockchain)</w:t>
      </w:r>
      <w:bookmarkEnd w:id="1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Requirement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Public Blockchain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Hyperledger Fabric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Permissioned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Anyone can join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Approved orgs only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Identity known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Pseudonymous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X.509 certificates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Throughput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~15 TPS (Ethereum)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1000+ TPS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Privacy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All data public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Private channels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Energy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Proof-of-Work waste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Efficient consensus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Regulatory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Unknown parties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Auditable membership</w:t>
            </w:r>
          </w:p>
        </w:tc>
      </w:tr>
    </w:tbl>
    <w:p/>
    <w:p>
      <w:pPr>
        <w:pStyle w:val="Heading3"/>
        <w:spacing w:after="80" w:before="240"/>
      </w:pPr>
      <w:bookmarkStart w:id="15" w:name="Proposed_Network_Structure"/>
      <w:r>
        <w:t>Proposed Network Structure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NUCLEAR REACTOR DIGITAL TWIN CONSORTIUM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CHANNEL: research-reactor-ops                                                     │</w:t>
        <w:br/>
        <w:t>│                                                                                     │</w:t>
        <w:br/>
        <w:t>│   ┌────────────────┐  ┌────────────────┐  ┌────────────────┐  ┌────────────────┐  │</w:t>
        <w:br/>
        <w:t>│   │  UT Austin     │  │     INL        │  │  Penn State    │  │    NRC         │  │</w:t>
        <w:br/>
        <w:t>│   │  (NETL)        │  │   (NRAD)       │  │   (RSEC)       │  │  (Observer)    │  │</w:t>
        <w:br/>
        <w:t>│   │                │  │                │  │                │  │                │  │</w:t>
        <w:br/>
        <w:t>│   │  Peer Node     │  │  Peer Node     │  │  Peer Node     │  │  Peer Node     │  │</w:t>
        <w:br/>
        <w:t>│   │  Orderer       │  │                │  │                │  │                │  │</w:t>
        <w:br/>
        <w:t>│   └────────────────┘  └────────────────┘  └────────────────┘  └────────────────┘  │</w:t>
        <w:br/>
        <w:t>│                                                                                     │</w:t>
        <w:br/>
        <w:t>│   PRIVATE CHANNELS (optional):                                                      │</w:t>
        <w:br/>
        <w:t>│   • ut-inl-collab: Shared DT development data                                      │</w:t>
        <w:br/>
        <w:t>│   • ut-netl-ops: NETL-only operational records 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16" w:name="bm_4__Implementation_Roadmap"/>
      <w:r>
        <w:t>4. Implementation Roadmap</w:t>
      </w:r>
      <w:bookmarkEnd w:id="16"/>
    </w:p>
    <w:p>
      <w:pPr>
        <w:pStyle w:val="Heading3"/>
        <w:spacing w:after="80" w:before="240"/>
      </w:pPr>
      <w:bookmarkStart w:id="17" w:name="Phase_1__Single_Facility__CINR_Scope_"/>
      <w:r>
        <w:t>Phase 1: Single Facility (CINR Scope)</w:t>
      </w:r>
      <w:bookmarkEnd w:id="17"/>
    </w:p>
    <w:p>
      <w:pPr>
        <w:pStyle w:val="ListBullet"/>
        <w:spacing w:after="40" w:before="0"/>
      </w:pPr>
      <w:r>
        <w:t>Ledger tables for elog and reactor data</w:t>
      </w:r>
    </w:p>
    <w:p>
      <w:pPr>
        <w:pStyle w:val="ListBullet"/>
        <w:spacing w:after="40" w:before="0"/>
      </w:pPr>
      <w:r>
        <w:t>Content hashing with Merkle tree structure</w:t>
      </w:r>
    </w:p>
    <w:p>
      <w:pPr>
        <w:pStyle w:val="ListBullet"/>
        <w:spacing w:after="40" w:before="0"/>
      </w:pPr>
      <w:r>
        <w:rPr>
          <w:b/>
        </w:rPr>
        <w:t>No blockchain yet</w:t>
      </w:r>
      <w:r>
        <w:t>—prepare data structures</w:t>
      </w:r>
    </w:p>
    <w:p>
      <w:pPr>
        <w:pStyle w:val="Heading3"/>
        <w:spacing w:after="80" w:before="240"/>
      </w:pPr>
      <w:bookmarkStart w:id="18" w:name="Phase_2__Bilateral_Pilot__NEUP_IRP_Scope"/>
      <w:r>
        <w:t>Phase 2: Bilateral Pilot (NEUP IRP Scope)</w:t>
      </w:r>
      <w:bookmarkEnd w:id="18"/>
    </w:p>
    <w:p>
      <w:pPr>
        <w:pStyle w:val="ListBullet"/>
        <w:spacing w:after="40" w:before="0"/>
      </w:pPr>
      <w:r>
        <w:t>UT Austin ↔ INL Hyperledger channel</w:t>
      </w:r>
    </w:p>
    <w:p>
      <w:pPr>
        <w:pStyle w:val="ListBullet"/>
        <w:spacing w:after="40" w:before="0"/>
      </w:pPr>
      <w:r>
        <w:t>Cross-attest shared datasets</w:t>
      </w:r>
    </w:p>
    <w:p>
      <w:pPr>
        <w:pStyle w:val="ListBullet"/>
        <w:spacing w:after="40" w:before="0"/>
      </w:pPr>
      <w:r>
        <w:t>Digital twin validation records</w:t>
      </w:r>
    </w:p>
    <w:p>
      <w:pPr>
        <w:pStyle w:val="Heading3"/>
        <w:spacing w:after="80" w:before="240"/>
      </w:pPr>
      <w:bookmarkStart w:id="19" w:name="Phase_3__Consortium__Future_"/>
      <w:r>
        <w:t>Phase 3: Consortium (Future)</w:t>
      </w:r>
      <w:bookmarkEnd w:id="19"/>
    </w:p>
    <w:p>
      <w:pPr>
        <w:pStyle w:val="ListBullet"/>
        <w:spacing w:after="40" w:before="0"/>
      </w:pPr>
      <w:r>
        <w:t>Multi-facility reactor network</w:t>
      </w:r>
    </w:p>
    <w:p>
      <w:pPr>
        <w:pStyle w:val="ListBullet"/>
        <w:spacing w:after="40" w:before="0"/>
      </w:pPr>
      <w:r>
        <w:t>NRC observer node</w:t>
      </w:r>
    </w:p>
    <w:p>
      <w:pPr>
        <w:pStyle w:val="ListBullet"/>
        <w:spacing w:after="40" w:before="0"/>
      </w:pPr>
      <w:r>
        <w:t>Standardized chaincode for common operations</w:t>
      </w:r>
    </w:p>
    <w:p>
      <w:pPr>
        <w:pStyle w:val="Heading2"/>
        <w:spacing w:after="80" w:before="240"/>
      </w:pPr>
      <w:bookmarkStart w:id="20" w:name="bm_5__Research_Questions"/>
      <w:r>
        <w:t>5. Research Questions</w:t>
      </w:r>
      <w:bookmarkEnd w:id="20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Performance:</w:t>
      </w:r>
      <w:r>
        <w:t xml:space="preserve"> Can blockchain handle high-frequency sensor data, or only summary records?</w:t>
      </w:r>
    </w:p>
    <w:p>
      <w:pPr>
        <w:pStyle w:val="ListNumber"/>
        <w:spacing w:after="40" w:before="0"/>
      </w:pPr>
      <w:r>
        <w:rPr>
          <w:b/>
        </w:rPr>
        <w:t>Privacy:</w:t>
      </w:r>
      <w:r>
        <w:t xml:space="preserve"> How to balance transparency with proprietary/security-sensitive data?</w:t>
      </w:r>
    </w:p>
    <w:p>
      <w:pPr>
        <w:pStyle w:val="ListNumber"/>
        <w:spacing w:after="40" w:before="0"/>
      </w:pPr>
      <w:r>
        <w:rPr>
          <w:b/>
        </w:rPr>
        <w:t>Governance:</w:t>
      </w:r>
      <w:r>
        <w:t xml:space="preserve"> Who approves new members? Who can revoke access?</w:t>
      </w:r>
    </w:p>
    <w:p>
      <w:pPr>
        <w:pStyle w:val="ListNumber"/>
        <w:spacing w:after="40" w:before="0"/>
      </w:pPr>
      <w:r>
        <w:rPr>
          <w:b/>
        </w:rPr>
        <w:t>Legal:</w:t>
      </w:r>
      <w:r>
        <w:t xml:space="preserve"> Does blockchain record constitute "official" regulatory submission?</w:t>
      </w:r>
    </w:p>
    <w:p>
      <w:pPr>
        <w:pStyle w:val="ListNumber"/>
        <w:spacing w:after="40" w:before="0"/>
      </w:pPr>
      <w:r>
        <w:rPr>
          <w:b/>
        </w:rPr>
        <w:t>Standards:</w:t>
      </w:r>
      <w:r>
        <w:t xml:space="preserve"> Can we influence NRC guidance on digital record integrity?</w:t>
      </w:r>
    </w:p>
    <w:p>
      <w:pPr>
        <w:pStyle w:val="Heading2"/>
        <w:spacing w:after="80" w:before="240"/>
      </w:pPr>
      <w:bookmarkStart w:id="21" w:name="bm_6__Competitive_Landscape"/>
      <w:r>
        <w:t>6. Competitive Landscape</w:t>
      </w:r>
      <w:bookmarkEnd w:id="2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Approach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Who's Doing It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Nuclear supply chain blockchain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IAEA (pilot)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 phase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Utility records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Duke Energy (internal)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Evaluation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DT + blockchain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Nobody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Opportunity</w:t>
            </w:r>
          </w:p>
        </w:tc>
      </w:tr>
    </w:tbl>
    <w:p/>
    <w:p>
      <w:pPr>
        <w:pStyle w:val="Heading2"/>
        <w:spacing w:after="80" w:before="240"/>
      </w:pPr>
      <w:bookmarkStart w:id="22" w:name="bm_7__Next_Steps"/>
      <w:r>
        <w:t>7. Next Steps</w:t>
      </w:r>
      <w:bookmarkEnd w:id="22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CINR (Jan 28, 2026):</w:t>
      </w:r>
      <w:r>
        <w:t xml:space="preserve"> Focus on ledger tables, defer blockchain to future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INL LDRD FY27 (Spring 2026):</w:t>
      </w:r>
      <w:r>
        <w:t xml:space="preserve"> Explore collaboration on Ryan Stewart's proposals</w:t>
      </w:r>
    </w:p>
    <w:p>
      <w:pPr>
        <w:spacing w:after="120" w:before="0"/>
      </w:pPr>
      <w:r>
        <w:t xml:space="preserve">   - Offer UT Austin as external collaborator / validation site    - Bring Hyperledger expertise for multi-site consensus    - Need INL PI to champion internally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NEUP IRP (June 2026 deadline):</w:t>
      </w:r>
      <w:r>
        <w:t xml:space="preserve"> Joint proposal with INL including:</w:t>
      </w:r>
    </w:p>
    <w:p>
      <w:pPr>
        <w:spacing w:after="120" w:before="0"/>
      </w:pPr>
      <w:r>
        <w:t xml:space="preserve">   - Blockchain pilot between UT Austin and INL (Year 2-3)    - </w:t>
      </w:r>
      <w:r>
        <w:rPr>
          <w:b/>
        </w:rPr>
        <w:t>Digital twin interoperability standards:</w:t>
      </w:r>
      <w:r>
        <w:t xml:space="preserve">      - Shared TRIGA ontology (building on NRAD vocabulary)      - GraphQL schema compatibility for relationship queries      - Parquet export format for bulk data exchange      - Tag naming convention (</w:t>
      </w:r>
      <w:r>
        <w:rPr>
          <w:rFonts w:ascii="Courier New" w:hAnsi="Courier New"/>
          <w:sz w:val="20"/>
        </w:rPr>
        <w:t>NETL_RX_*</w:t>
      </w:r>
      <w:r>
        <w:t xml:space="preserve">, </w:t>
      </w:r>
      <w:r>
        <w:rPr>
          <w:rFonts w:ascii="Courier New" w:hAnsi="Courier New"/>
          <w:sz w:val="20"/>
        </w:rPr>
        <w:t>NRAD_RX_*</w:t>
      </w:r>
      <w:r>
        <w:t>)      - Limits schema standard (</w:t>
      </w:r>
      <w:r>
        <w:rPr>
          <w:rFonts w:ascii="Courier New" w:hAnsi="Courier New"/>
          <w:sz w:val="20"/>
        </w:rPr>
        <w:t>safety_importance</w:t>
      </w:r>
      <w:r>
        <w:t xml:space="preserve">, </w:t>
      </w:r>
      <w:r>
        <w:rPr>
          <w:rFonts w:ascii="Courier New" w:hAnsi="Courier New"/>
          <w:sz w:val="20"/>
        </w:rPr>
        <w:t>required_logic</w:t>
      </w:r>
      <w:r>
        <w:t xml:space="preserve">, </w:t>
      </w:r>
      <w:r>
        <w:rPr>
          <w:rFonts w:ascii="Courier New" w:hAnsi="Courier New"/>
          <w:sz w:val="20"/>
        </w:rPr>
        <w:t>reference</w:t>
      </w:r>
      <w:r>
        <w:t>)    - Cross-site DT model validation with blockchain attestation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Paper:</w:t>
      </w:r>
      <w:r>
        <w:t xml:space="preserve"> "Distributed Ledger and Interoperability Standards for Federated Nuclear Reactor Digital Twins" — addresses both data integrity and cross-site compatibility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NRC Engagement:</w:t>
      </w:r>
      <w:r>
        <w:t xml:space="preserve"> Discuss blockchain + interoperability as regulatory pathway for:</w:t>
      </w:r>
    </w:p>
    <w:p>
      <w:pPr>
        <w:spacing w:after="120" w:before="0"/>
      </w:pPr>
      <w:r>
        <w:t xml:space="preserve">   - Digital twin acceptance for operational use    - Multi-facility data sharing for benchmarking    - Model validation consensus mechanisms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Standards Development:</w:t>
      </w:r>
      <w:r>
        <w:t xml:space="preserve"> Propose working group for:</w:t>
      </w:r>
    </w:p>
    <w:p>
      <w:pPr>
        <w:spacing w:after="120" w:before="0"/>
      </w:pPr>
      <w:r>
        <w:t xml:space="preserve">   - Reactor digital twin ontology (extend NRAD/DIAMOND)    - Data exchange format specification    - Blockchain attestation schema for model V&amp;V</w:t>
      </w:r>
    </w:p>
    <w:p>
      <w:pPr>
        <w:spacing w:after="120" w:before="0"/>
      </w:pPr>
      <w:r>
        <w:rPr>
          <w:i/>
        </w:rPr>
        <w:t>This document outlines research directions. Implementation requires further analysis of regulatory acceptance, cost-benefit, and technical feasibility.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