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before="240"/>
      </w:pPr>
      <w:bookmarkStart w:id="0" w:name="Platform_Comparison__Why_Not__Just_Use_D"/>
      <w:r>
        <w:t>Platform Comparison: Why Not "Just Use Databricks"?</w:t>
      </w:r>
      <w:bookmarkEnd w:id="0"/>
    </w:p>
    <w:p>
      <w:pPr>
        <w:spacing w:after="120" w:before="0"/>
      </w:pPr>
      <w:r>
        <w:rPr>
          <w:b/>
        </w:rPr>
        <w:t>Version:</w:t>
      </w:r>
      <w:r>
        <w:t xml:space="preserve"> 1.0 DRAFT   </w:t>
      </w:r>
      <w:r>
        <w:rPr>
          <w:b/>
        </w:rPr>
        <w:t>Date:</w:t>
      </w:r>
      <w:r>
        <w:t xml:space="preserve"> January 2026   </w:t>
      </w:r>
      <w:r>
        <w:rPr>
          <w:b/>
        </w:rPr>
        <w:t>Purpose:</w:t>
      </w:r>
      <w:r>
        <w:t xml:space="preserve"> Address stakeholder questions about build vs. buy for data platform</w:t>
      </w:r>
    </w:p>
    <w:p>
      <w:pPr>
        <w:pStyle w:val="Heading2"/>
        <w:spacing w:after="80" w:before="240"/>
      </w:pPr>
      <w:bookmarkStart w:id="1" w:name="The_Question"/>
      <w:r>
        <w:t>The Question</w:t>
      </w:r>
      <w:bookmarkEnd w:id="1"/>
    </w:p>
    <w:p>
      <w:pPr>
        <w:pStyle w:val="Quote"/>
        <w:spacing w:after="120" w:before="0"/>
      </w:pPr>
      <w:r>
        <w:t>"Why are we building a custom data platform? Can't we just pay Databricks (or Snowflake, or AWS) to maintain this for us?"</w:t>
      </w:r>
    </w:p>
    <w:p>
      <w:pPr>
        <w:spacing w:after="120" w:before="0"/>
      </w:pPr>
      <w:r>
        <w:t>This is a fair question. Managed platforms have real advantages: less operational burden, automatic scaling, enterprise support. This document explains why, for nuclear digital twins specifically, an open lakehouse architecture is the better choice.</w:t>
      </w:r>
    </w:p>
    <w:p>
      <w:pPr>
        <w:pStyle w:val="Heading2"/>
        <w:spacing w:after="80" w:before="240"/>
      </w:pPr>
      <w:bookmarkStart w:id="2" w:name="Executive_Summary"/>
      <w:r>
        <w:t>Executive Summary</w:t>
      </w:r>
      <w:bookmarkEnd w:id="2"/>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Factor</w:t>
            </w:r>
          </w:p>
        </w:tc>
        <w:tc>
          <w:tcPr>
            <w:tcW w:type="dxa" w:w="4320"/>
            <w:vAlign w:val="top"/>
          </w:tcPr>
          <w:p>
            <w:pPr>
              <w:spacing w:after="120" w:before="0"/>
            </w:pPr>
            <w:r>
              <w:rPr>
                <w:rFonts w:ascii="Calibri" w:hAnsi="Calibri"/>
                <w:b/>
                <w:sz w:val="22"/>
              </w:rPr>
            </w:r>
            <w:r>
              <w:rPr>
                <w:rFonts w:ascii="Calibri" w:hAnsi="Calibri"/>
                <w:b/>
                <w:sz w:val="22"/>
              </w:rPr>
              <w:t>Verdict</w:t>
            </w:r>
          </w:p>
        </w:tc>
      </w:tr>
      <w:tr>
        <w:tc>
          <w:tcPr>
            <w:tcW w:type="dxa" w:w="4320"/>
            <w:vAlign w:val="top"/>
          </w:tcPr>
          <w:p>
            <w:pPr>
              <w:spacing w:after="80" w:before="0"/>
            </w:pPr>
            <w:r>
              <w:rPr>
                <w:rFonts w:ascii="Calibri" w:hAnsi="Calibri"/>
              </w:rPr>
            </w:r>
            <w:r>
              <w:rPr>
                <w:rFonts w:ascii="Calibri" w:hAnsi="Calibri"/>
                <w:b/>
              </w:rPr>
              <w:t>Data sovereignty</w:t>
            </w:r>
          </w:p>
        </w:tc>
        <w:tc>
          <w:tcPr>
            <w:tcW w:type="dxa" w:w="4320"/>
            <w:vAlign w:val="top"/>
          </w:tcPr>
          <w:p>
            <w:pPr>
              <w:spacing w:after="80" w:before="0"/>
            </w:pPr>
            <w:r>
              <w:rPr>
                <w:rFonts w:ascii="Calibri" w:hAnsi="Calibri"/>
              </w:rPr>
            </w:r>
            <w:r>
              <w:rPr>
                <w:rFonts w:ascii="Calibri" w:hAnsi="Calibri"/>
              </w:rPr>
              <w:t>✅ Open lakehouse wins (you control where data lives + portable format)</w:t>
            </w:r>
          </w:p>
        </w:tc>
      </w:tr>
      <w:tr>
        <w:tc>
          <w:tcPr>
            <w:tcW w:type="dxa" w:w="4320"/>
            <w:vAlign w:val="top"/>
          </w:tcPr>
          <w:p>
            <w:pPr>
              <w:spacing w:after="80" w:before="0"/>
            </w:pPr>
            <w:r>
              <w:rPr>
                <w:rFonts w:ascii="Calibri" w:hAnsi="Calibri"/>
              </w:rPr>
            </w:r>
            <w:r>
              <w:rPr>
                <w:rFonts w:ascii="Calibri" w:hAnsi="Calibri"/>
                <w:b/>
              </w:rPr>
              <w:t>Cost trajectory</w:t>
            </w:r>
          </w:p>
        </w:tc>
        <w:tc>
          <w:tcPr>
            <w:tcW w:type="dxa" w:w="4320"/>
            <w:vAlign w:val="top"/>
          </w:tcPr>
          <w:p>
            <w:pPr>
              <w:spacing w:after="80" w:before="0"/>
            </w:pPr>
            <w:r>
              <w:rPr>
                <w:rFonts w:ascii="Calibri" w:hAnsi="Calibri"/>
              </w:rPr>
            </w:r>
            <w:r>
              <w:rPr>
                <w:rFonts w:ascii="Calibri" w:hAnsi="Calibri"/>
              </w:rPr>
              <w:t>✅ Open lakehouse wins (TACC allocation vs. DBU pricing)</w:t>
            </w:r>
          </w:p>
        </w:tc>
      </w:tr>
      <w:tr>
        <w:tc>
          <w:tcPr>
            <w:tcW w:type="dxa" w:w="4320"/>
            <w:vAlign w:val="top"/>
          </w:tcPr>
          <w:p>
            <w:pPr>
              <w:spacing w:after="80" w:before="0"/>
            </w:pPr>
            <w:r>
              <w:rPr>
                <w:rFonts w:ascii="Calibri" w:hAnsi="Calibri"/>
              </w:rPr>
            </w:r>
            <w:r>
              <w:rPr>
                <w:rFonts w:ascii="Calibri" w:hAnsi="Calibri"/>
                <w:b/>
              </w:rPr>
              <w:t>Customization depth</w:t>
            </w:r>
          </w:p>
        </w:tc>
        <w:tc>
          <w:tcPr>
            <w:tcW w:type="dxa" w:w="4320"/>
            <w:vAlign w:val="top"/>
          </w:tcPr>
          <w:p>
            <w:pPr>
              <w:spacing w:after="80" w:before="0"/>
            </w:pPr>
            <w:r>
              <w:rPr>
                <w:rFonts w:ascii="Calibri" w:hAnsi="Calibri"/>
              </w:rPr>
            </w:r>
            <w:r>
              <w:rPr>
                <w:rFonts w:ascii="Calibri" w:hAnsi="Calibri"/>
              </w:rPr>
              <w:t>✅ Open lakehouse wins (DT integration requires deep hooks)</w:t>
            </w:r>
          </w:p>
        </w:tc>
      </w:tr>
      <w:tr>
        <w:tc>
          <w:tcPr>
            <w:tcW w:type="dxa" w:w="4320"/>
            <w:vAlign w:val="top"/>
          </w:tcPr>
          <w:p>
            <w:pPr>
              <w:spacing w:after="80" w:before="0"/>
            </w:pPr>
            <w:r>
              <w:rPr>
                <w:rFonts w:ascii="Calibri" w:hAnsi="Calibri"/>
              </w:rPr>
            </w:r>
            <w:r>
              <w:rPr>
                <w:rFonts w:ascii="Calibri" w:hAnsi="Calibri"/>
                <w:b/>
              </w:rPr>
              <w:t>Operational burden</w:t>
            </w:r>
          </w:p>
        </w:tc>
        <w:tc>
          <w:tcPr>
            <w:tcW w:type="dxa" w:w="4320"/>
            <w:vAlign w:val="top"/>
          </w:tcPr>
          <w:p>
            <w:pPr>
              <w:spacing w:after="80" w:before="0"/>
            </w:pPr>
            <w:r>
              <w:rPr>
                <w:rFonts w:ascii="Calibri" w:hAnsi="Calibri"/>
              </w:rPr>
            </w:r>
            <w:r>
              <w:rPr>
                <w:rFonts w:ascii="Calibri" w:hAnsi="Calibri"/>
              </w:rPr>
              <w:t>⚠️ Databricks wins (but manageable with modern tooling)</w:t>
            </w:r>
          </w:p>
        </w:tc>
      </w:tr>
      <w:tr>
        <w:tc>
          <w:tcPr>
            <w:tcW w:type="dxa" w:w="4320"/>
            <w:vAlign w:val="top"/>
          </w:tcPr>
          <w:p>
            <w:pPr>
              <w:spacing w:after="80" w:before="0"/>
            </w:pPr>
            <w:r>
              <w:rPr>
                <w:rFonts w:ascii="Calibri" w:hAnsi="Calibri"/>
              </w:rPr>
            </w:r>
            <w:r>
              <w:rPr>
                <w:rFonts w:ascii="Calibri" w:hAnsi="Calibri"/>
                <w:b/>
              </w:rPr>
              <w:t>Time to first value</w:t>
            </w:r>
          </w:p>
        </w:tc>
        <w:tc>
          <w:tcPr>
            <w:tcW w:type="dxa" w:w="4320"/>
            <w:vAlign w:val="top"/>
          </w:tcPr>
          <w:p>
            <w:pPr>
              <w:spacing w:after="80" w:before="0"/>
            </w:pPr>
            <w:r>
              <w:rPr>
                <w:rFonts w:ascii="Calibri" w:hAnsi="Calibri"/>
              </w:rPr>
            </w:r>
            <w:r>
              <w:rPr>
                <w:rFonts w:ascii="Calibri" w:hAnsi="Calibri"/>
              </w:rPr>
              <w:t xml:space="preserve">✅ </w:t>
            </w:r>
            <w:r>
              <w:rPr>
                <w:rFonts w:ascii="Calibri" w:hAnsi="Calibri"/>
                <w:b/>
              </w:rPr>
              <w:t>Tie</w:t>
            </w:r>
            <w:r>
              <w:rPr>
                <w:rFonts w:ascii="Calibri" w:hAnsi="Calibri"/>
              </w:rPr>
              <w:t xml:space="preserve"> (data puddle MVP delivers dashboards immediately)</w:t>
            </w:r>
          </w:p>
        </w:tc>
      </w:tr>
      <w:tr>
        <w:tc>
          <w:tcPr>
            <w:tcW w:type="dxa" w:w="4320"/>
            <w:vAlign w:val="top"/>
          </w:tcPr>
          <w:p>
            <w:pPr>
              <w:spacing w:after="80" w:before="0"/>
            </w:pPr>
            <w:r>
              <w:rPr>
                <w:rFonts w:ascii="Calibri" w:hAnsi="Calibri"/>
              </w:rPr>
            </w:r>
            <w:r>
              <w:rPr>
                <w:rFonts w:ascii="Calibri" w:hAnsi="Calibri"/>
                <w:b/>
              </w:rPr>
              <w:t>Skills transfer</w:t>
            </w:r>
          </w:p>
        </w:tc>
        <w:tc>
          <w:tcPr>
            <w:tcW w:type="dxa" w:w="4320"/>
            <w:vAlign w:val="top"/>
          </w:tcPr>
          <w:p>
            <w:pPr>
              <w:spacing w:after="80" w:before="0"/>
            </w:pPr>
            <w:r>
              <w:rPr>
                <w:rFonts w:ascii="Calibri" w:hAnsi="Calibri"/>
              </w:rPr>
            </w:r>
            <w:r>
              <w:rPr>
                <w:rFonts w:ascii="Calibri" w:hAnsi="Calibri"/>
              </w:rPr>
              <w:t>✅ Open lakehouse wins (industry-standard patterns)</w:t>
            </w:r>
          </w:p>
        </w:tc>
      </w:tr>
      <w:tr>
        <w:tc>
          <w:tcPr>
            <w:tcW w:type="dxa" w:w="4320"/>
            <w:vAlign w:val="top"/>
          </w:tcPr>
          <w:p>
            <w:pPr>
              <w:spacing w:after="80" w:before="0"/>
            </w:pPr>
            <w:r>
              <w:rPr>
                <w:rFonts w:ascii="Calibri" w:hAnsi="Calibri"/>
              </w:rPr>
            </w:r>
            <w:r>
              <w:rPr>
                <w:rFonts w:ascii="Calibri" w:hAnsi="Calibri"/>
                <w:b/>
              </w:rPr>
              <w:t>Lock-in risk</w:t>
            </w:r>
          </w:p>
        </w:tc>
        <w:tc>
          <w:tcPr>
            <w:tcW w:type="dxa" w:w="4320"/>
            <w:vAlign w:val="top"/>
          </w:tcPr>
          <w:p>
            <w:pPr>
              <w:spacing w:after="80" w:before="0"/>
            </w:pPr>
            <w:r>
              <w:rPr>
                <w:rFonts w:ascii="Calibri" w:hAnsi="Calibri"/>
              </w:rPr>
            </w:r>
            <w:r>
              <w:rPr>
                <w:rFonts w:ascii="Calibri" w:hAnsi="Calibri"/>
              </w:rPr>
              <w:t>✅ Open lakehouse wins (portable Iceberg format)</w:t>
            </w:r>
          </w:p>
        </w:tc>
      </w:tr>
    </w:tbl>
    <w:p/>
    <w:p>
      <w:pPr>
        <w:spacing w:after="120" w:before="0"/>
      </w:pPr>
      <w:r>
        <w:rPr>
          <w:b/>
        </w:rPr>
        <w:t>Recommendation:</w:t>
      </w:r>
      <w:r>
        <w:t xml:space="preserve"> Build on open lakehouse (Iceberg + DuckDB + dbt) for long-term strategic advantage. Accept modest additional operational complexity in exchange for data control, cost predictability, and customization flexibility.</w:t>
      </w:r>
    </w:p>
    <w:p>
      <w:pPr>
        <w:pStyle w:val="Heading2"/>
        <w:spacing w:after="80" w:before="240"/>
      </w:pPr>
      <w:bookmarkStart w:id="3" w:name="Detailed_Comparison"/>
      <w:r>
        <w:t>Detailed Comparison</w:t>
      </w:r>
      <w:bookmarkEnd w:id="3"/>
    </w:p>
    <w:p>
      <w:pPr>
        <w:pStyle w:val="Heading3"/>
        <w:spacing w:after="80" w:before="240"/>
      </w:pPr>
      <w:bookmarkStart w:id="4" w:name="bm_1__Data_Sovereignty___Nuclear_Complia"/>
      <w:r>
        <w:t>1. Data Sovereignty &amp; Nuclear Compliance</w:t>
      </w:r>
      <w:bookmarkEnd w:id="4"/>
    </w:p>
    <w:p>
      <w:pPr>
        <w:spacing w:after="120" w:before="0"/>
      </w:pPr>
      <w:r>
        <w:rPr>
          <w:b/>
        </w:rPr>
        <w:t>The constraint:</w:t>
      </w:r>
      <w:r>
        <w:t xml:space="preserve"> Nuclear reactor data—even from research reactors—has export control and sensitivity considerations. Data cannot freely move to cloud regions, cross international boundaries, or be accessible to foreign nationals without proper controls.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Platform</w:t>
            </w:r>
          </w:p>
        </w:tc>
        <w:tc>
          <w:tcPr>
            <w:tcW w:type="dxa" w:w="2880"/>
            <w:vAlign w:val="top"/>
          </w:tcPr>
          <w:p>
            <w:pPr>
              <w:spacing w:after="120" w:before="0"/>
            </w:pPr>
            <w:r>
              <w:rPr>
                <w:rFonts w:ascii="Calibri" w:hAnsi="Calibri"/>
                <w:b/>
                <w:sz w:val="22"/>
              </w:rPr>
            </w:r>
            <w:r>
              <w:rPr>
                <w:rFonts w:ascii="Calibri" w:hAnsi="Calibri"/>
                <w:b/>
                <w:sz w:val="22"/>
              </w:rPr>
              <w:t>Data Residency</w:t>
            </w:r>
          </w:p>
        </w:tc>
        <w:tc>
          <w:tcPr>
            <w:tcW w:type="dxa" w:w="2880"/>
            <w:vAlign w:val="top"/>
          </w:tcPr>
          <w:p>
            <w:pPr>
              <w:spacing w:after="120" w:before="0"/>
            </w:pPr>
            <w:r>
              <w:rPr>
                <w:rFonts w:ascii="Calibri" w:hAnsi="Calibri"/>
                <w:b/>
                <w:sz w:val="22"/>
              </w:rPr>
            </w:r>
            <w:r>
              <w:rPr>
                <w:rFonts w:ascii="Calibri" w:hAnsi="Calibri"/>
                <w:b/>
                <w:sz w:val="22"/>
              </w:rPr>
              <w:t>Format Lock-in</w:t>
            </w:r>
          </w:p>
        </w:tc>
      </w:tr>
      <w:tr>
        <w:tc>
          <w:tcPr>
            <w:tcW w:type="dxa" w:w="2880"/>
            <w:vAlign w:val="top"/>
          </w:tcPr>
          <w:p>
            <w:pPr>
              <w:spacing w:after="80" w:before="0"/>
            </w:pPr>
            <w:r>
              <w:rPr>
                <w:rFonts w:ascii="Calibri" w:hAnsi="Calibri"/>
              </w:rPr>
            </w:r>
            <w:r>
              <w:rPr>
                <w:rFonts w:ascii="Calibri" w:hAnsi="Calibri"/>
                <w:b/>
              </w:rPr>
              <w:t>Databricks</w:t>
            </w:r>
          </w:p>
        </w:tc>
        <w:tc>
          <w:tcPr>
            <w:tcW w:type="dxa" w:w="2880"/>
            <w:vAlign w:val="top"/>
          </w:tcPr>
          <w:p>
            <w:pPr>
              <w:spacing w:after="80" w:before="0"/>
            </w:pPr>
            <w:r>
              <w:rPr>
                <w:rFonts w:ascii="Calibri" w:hAnsi="Calibri"/>
              </w:rPr>
            </w:r>
            <w:r>
              <w:rPr>
                <w:rFonts w:ascii="Calibri" w:hAnsi="Calibri"/>
              </w:rPr>
              <w:t>Your cloud account, but Databricks control plane has access</w:t>
            </w:r>
          </w:p>
        </w:tc>
        <w:tc>
          <w:tcPr>
            <w:tcW w:type="dxa" w:w="2880"/>
            <w:vAlign w:val="top"/>
          </w:tcPr>
          <w:p>
            <w:pPr>
              <w:spacing w:after="80" w:before="0"/>
            </w:pPr>
            <w:r>
              <w:rPr>
                <w:rFonts w:ascii="Calibri" w:hAnsi="Calibri"/>
              </w:rPr>
            </w:r>
            <w:r>
              <w:rPr>
                <w:rFonts w:ascii="Calibri" w:hAnsi="Calibri"/>
              </w:rPr>
              <w:t>Delta Lake (Databricks-controlled evolution)</w:t>
            </w:r>
          </w:p>
        </w:tc>
      </w:tr>
      <w:tr>
        <w:tc>
          <w:tcPr>
            <w:tcW w:type="dxa" w:w="2880"/>
            <w:vAlign w:val="top"/>
          </w:tcPr>
          <w:p>
            <w:pPr>
              <w:spacing w:after="80" w:before="0"/>
            </w:pPr>
            <w:r>
              <w:rPr>
                <w:rFonts w:ascii="Calibri" w:hAnsi="Calibri"/>
              </w:rPr>
            </w:r>
            <w:r>
              <w:rPr>
                <w:rFonts w:ascii="Calibri" w:hAnsi="Calibri"/>
                <w:b/>
              </w:rPr>
              <w:t>Snowflake</w:t>
            </w:r>
          </w:p>
        </w:tc>
        <w:tc>
          <w:tcPr>
            <w:tcW w:type="dxa" w:w="2880"/>
            <w:vAlign w:val="top"/>
          </w:tcPr>
          <w:p>
            <w:pPr>
              <w:spacing w:after="80" w:before="0"/>
            </w:pPr>
            <w:r>
              <w:rPr>
                <w:rFonts w:ascii="Calibri" w:hAnsi="Calibri"/>
              </w:rPr>
            </w:r>
            <w:r>
              <w:rPr>
                <w:rFonts w:ascii="Calibri" w:hAnsi="Calibri"/>
              </w:rPr>
              <w:t>Snowflake-managed infrastructure; you choose region</w:t>
            </w:r>
          </w:p>
        </w:tc>
        <w:tc>
          <w:tcPr>
            <w:tcW w:type="dxa" w:w="2880"/>
            <w:vAlign w:val="top"/>
          </w:tcPr>
          <w:p>
            <w:pPr>
              <w:spacing w:after="80" w:before="0"/>
            </w:pPr>
            <w:r>
              <w:rPr>
                <w:rFonts w:ascii="Calibri" w:hAnsi="Calibri"/>
              </w:rPr>
            </w:r>
            <w:r>
              <w:rPr>
                <w:rFonts w:ascii="Calibri" w:hAnsi="Calibri"/>
              </w:rPr>
              <w:t>Proprietary internal format</w:t>
            </w:r>
          </w:p>
        </w:tc>
      </w:tr>
      <w:tr>
        <w:tc>
          <w:tcPr>
            <w:tcW w:type="dxa" w:w="2880"/>
            <w:vAlign w:val="top"/>
          </w:tcPr>
          <w:p>
            <w:pPr>
              <w:spacing w:after="80" w:before="0"/>
            </w:pPr>
            <w:r>
              <w:rPr>
                <w:rFonts w:ascii="Calibri" w:hAnsi="Calibri"/>
              </w:rPr>
            </w:r>
            <w:r>
              <w:rPr>
                <w:rFonts w:ascii="Calibri" w:hAnsi="Calibri"/>
                <w:b/>
              </w:rPr>
              <w:t>Open Lakehouse</w:t>
            </w:r>
          </w:p>
        </w:tc>
        <w:tc>
          <w:tcPr>
            <w:tcW w:type="dxa" w:w="2880"/>
            <w:vAlign w:val="top"/>
          </w:tcPr>
          <w:p>
            <w:pPr>
              <w:spacing w:after="80" w:before="0"/>
            </w:pPr>
            <w:r>
              <w:rPr>
                <w:rFonts w:ascii="Calibri" w:hAnsi="Calibri"/>
              </w:rPr>
            </w:r>
            <w:r>
              <w:rPr>
                <w:rFonts w:ascii="Calibri" w:hAnsi="Calibri"/>
              </w:rPr>
              <w:t>Your choice: TACC, local, AWS, Azure—you decide</w:t>
            </w:r>
          </w:p>
        </w:tc>
        <w:tc>
          <w:tcPr>
            <w:tcW w:type="dxa" w:w="2880"/>
            <w:vAlign w:val="top"/>
          </w:tcPr>
          <w:p>
            <w:pPr>
              <w:spacing w:after="80" w:before="0"/>
            </w:pPr>
            <w:r>
              <w:rPr>
                <w:rFonts w:ascii="Calibri" w:hAnsi="Calibri"/>
              </w:rPr>
            </w:r>
            <w:r>
              <w:rPr>
                <w:rFonts w:ascii="Calibri" w:hAnsi="Calibri"/>
              </w:rPr>
              <w:t>Apache Iceberg (open standard, portable)</w:t>
            </w:r>
          </w:p>
        </w:tc>
      </w:tr>
    </w:tbl>
    <w:p/>
    <w:p>
      <w:pPr>
        <w:spacing w:after="120" w:before="0"/>
      </w:pPr>
      <w:r>
        <w:rPr>
          <w:b/>
        </w:rPr>
        <w:t>The real differentiator isn't "local vs. cloud"—it's control and portability.</w:t>
      </w:r>
    </w:p>
    <w:p>
      <w:pPr>
        <w:spacing w:after="120" w:before="0"/>
      </w:pPr>
      <w:r>
        <w:t>We may well end up storing data in Azure or AWS. The advantage of open lakehouse is:</w:t>
      </w:r>
    </w:p>
    <w:p>
      <w:pPr>
        <w:pStyle w:val="ListBullet"/>
        <w:spacing w:after="40" w:before="0"/>
      </w:pPr>
      <w:r>
        <w:rPr>
          <w:b/>
        </w:rPr>
        <w:t>You choose</w:t>
      </w:r>
      <w:r>
        <w:t xml:space="preserve"> where data lives (and can change your mind later)</w:t>
      </w:r>
    </w:p>
    <w:p>
      <w:pPr>
        <w:pStyle w:val="ListBullet"/>
        <w:spacing w:after="40" w:before="0"/>
      </w:pPr>
      <w:r>
        <w:rPr>
          <w:b/>
        </w:rPr>
        <w:t>Open format</w:t>
      </w:r>
      <w:r>
        <w:t xml:space="preserve"> (Iceberg) means data is portable—not locked to any vendor</w:t>
      </w:r>
    </w:p>
    <w:p>
      <w:pPr>
        <w:pStyle w:val="ListBullet"/>
        <w:spacing w:after="40" w:before="0"/>
      </w:pPr>
      <w:r>
        <w:rPr>
          <w:b/>
        </w:rPr>
        <w:t>No control plane dependency</w:t>
      </w:r>
      <w:r>
        <w:t>—queries don't route through vendor infrastructure</w:t>
      </w:r>
    </w:p>
    <w:p>
      <w:pPr>
        <w:spacing w:after="120" w:before="0"/>
      </w:pPr>
      <w:r>
        <w:t>With Databricks/Snowflake, moving to a different platform means migrating data out of proprietary formats. With Iceberg on S3/Azure Blob, any engine can read the tables.</w:t>
      </w:r>
    </w:p>
    <w:p>
      <w:pPr>
        <w:pStyle w:val="Heading3"/>
        <w:spacing w:after="80" w:before="240"/>
      </w:pPr>
      <w:bookmarkStart w:id="5" w:name="bm_2__Cost_Analysis"/>
      <w:r>
        <w:t>2. Cost Analysis</w:t>
      </w:r>
      <w:bookmarkEnd w:id="5"/>
    </w:p>
    <w:p>
      <w:pPr>
        <w:pStyle w:val="Heading4"/>
        <w:spacing w:after="80" w:before="240"/>
      </w:pPr>
      <w:bookmarkStart w:id="6" w:name="Databricks_Pricing_Model"/>
      <w:r>
        <w:t>Databricks Pricing Model</w:t>
      </w:r>
      <w:bookmarkEnd w:id="6"/>
    </w:p>
    <w:p>
      <w:pPr>
        <w:spacing w:after="120" w:before="0"/>
      </w:pPr>
      <w:r>
        <w:t>Databricks charges in "DBUs" (Databricks Units) based on compute consumption: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Workload Type</w:t>
            </w:r>
          </w:p>
        </w:tc>
        <w:tc>
          <w:tcPr>
            <w:tcW w:type="dxa" w:w="2160"/>
            <w:vAlign w:val="top"/>
          </w:tcPr>
          <w:p>
            <w:pPr>
              <w:spacing w:after="120" w:before="0"/>
            </w:pPr>
            <w:r>
              <w:rPr>
                <w:rFonts w:ascii="Calibri" w:hAnsi="Calibri"/>
                <w:b/>
                <w:sz w:val="22"/>
              </w:rPr>
            </w:r>
            <w:r>
              <w:rPr>
                <w:rFonts w:ascii="Calibri" w:hAnsi="Calibri"/>
                <w:b/>
                <w:sz w:val="22"/>
              </w:rPr>
              <w:t>DBU Rate</w:t>
            </w:r>
          </w:p>
        </w:tc>
        <w:tc>
          <w:tcPr>
            <w:tcW w:type="dxa" w:w="2160"/>
            <w:vAlign w:val="top"/>
          </w:tcPr>
          <w:p>
            <w:pPr>
              <w:spacing w:after="120" w:before="0"/>
            </w:pPr>
            <w:r>
              <w:rPr>
                <w:rFonts w:ascii="Calibri" w:hAnsi="Calibri"/>
                <w:b/>
                <w:sz w:val="22"/>
              </w:rPr>
            </w:r>
            <w:r>
              <w:rPr>
                <w:rFonts w:ascii="Calibri" w:hAnsi="Calibri"/>
                <w:b/>
                <w:sz w:val="22"/>
              </w:rPr>
              <w:t>Typical Usage</w:t>
            </w:r>
          </w:p>
        </w:tc>
        <w:tc>
          <w:tcPr>
            <w:tcW w:type="dxa" w:w="2160"/>
            <w:vAlign w:val="top"/>
          </w:tcPr>
          <w:p>
            <w:pPr>
              <w:spacing w:after="120" w:before="0"/>
            </w:pPr>
            <w:r>
              <w:rPr>
                <w:rFonts w:ascii="Calibri" w:hAnsi="Calibri"/>
                <w:b/>
                <w:sz w:val="22"/>
              </w:rPr>
            </w:r>
            <w:r>
              <w:rPr>
                <w:rFonts w:ascii="Calibri" w:hAnsi="Calibri"/>
                <w:b/>
                <w:sz w:val="22"/>
              </w:rPr>
              <w:t>Monthly Cost</w:t>
            </w:r>
          </w:p>
        </w:tc>
      </w:tr>
      <w:tr>
        <w:tc>
          <w:tcPr>
            <w:tcW w:type="dxa" w:w="2160"/>
            <w:vAlign w:val="top"/>
          </w:tcPr>
          <w:p>
            <w:pPr>
              <w:spacing w:after="80" w:before="0"/>
            </w:pPr>
            <w:r>
              <w:rPr>
                <w:rFonts w:ascii="Calibri" w:hAnsi="Calibri"/>
              </w:rPr>
            </w:r>
            <w:r>
              <w:rPr>
                <w:rFonts w:ascii="Calibri" w:hAnsi="Calibri"/>
              </w:rPr>
              <w:t>SQL Warehouse (serverless)</w:t>
            </w:r>
          </w:p>
        </w:tc>
        <w:tc>
          <w:tcPr>
            <w:tcW w:type="dxa" w:w="2160"/>
            <w:vAlign w:val="top"/>
          </w:tcPr>
          <w:p>
            <w:pPr>
              <w:spacing w:after="80" w:before="0"/>
            </w:pPr>
            <w:r>
              <w:rPr>
                <w:rFonts w:ascii="Calibri" w:hAnsi="Calibri"/>
              </w:rPr>
            </w:r>
            <w:r>
              <w:rPr>
                <w:rFonts w:ascii="Calibri" w:hAnsi="Calibri"/>
              </w:rPr>
              <w:t>$0.70/DBU</w:t>
            </w:r>
          </w:p>
        </w:tc>
        <w:tc>
          <w:tcPr>
            <w:tcW w:type="dxa" w:w="2160"/>
            <w:vAlign w:val="top"/>
          </w:tcPr>
          <w:p>
            <w:pPr>
              <w:spacing w:after="80" w:before="0"/>
            </w:pPr>
            <w:r>
              <w:rPr>
                <w:rFonts w:ascii="Calibri" w:hAnsi="Calibri"/>
              </w:rPr>
            </w:r>
            <w:r>
              <w:rPr>
                <w:rFonts w:ascii="Calibri" w:hAnsi="Calibri"/>
              </w:rPr>
              <w:t>1000 DBU/month</w:t>
            </w:r>
          </w:p>
        </w:tc>
        <w:tc>
          <w:tcPr>
            <w:tcW w:type="dxa" w:w="2160"/>
            <w:vAlign w:val="top"/>
          </w:tcPr>
          <w:p>
            <w:pPr>
              <w:spacing w:after="80" w:before="0"/>
            </w:pPr>
            <w:r>
              <w:rPr>
                <w:rFonts w:ascii="Calibri" w:hAnsi="Calibri"/>
              </w:rPr>
            </w:r>
            <w:r>
              <w:rPr>
                <w:rFonts w:ascii="Calibri" w:hAnsi="Calibri"/>
              </w:rPr>
              <w:t>$700</w:t>
            </w:r>
          </w:p>
        </w:tc>
      </w:tr>
      <w:tr>
        <w:tc>
          <w:tcPr>
            <w:tcW w:type="dxa" w:w="2160"/>
            <w:vAlign w:val="top"/>
          </w:tcPr>
          <w:p>
            <w:pPr>
              <w:spacing w:after="80" w:before="0"/>
            </w:pPr>
            <w:r>
              <w:rPr>
                <w:rFonts w:ascii="Calibri" w:hAnsi="Calibri"/>
              </w:rPr>
            </w:r>
            <w:r>
              <w:rPr>
                <w:rFonts w:ascii="Calibri" w:hAnsi="Calibri"/>
              </w:rPr>
              <w:t>Jobs (batch)</w:t>
            </w:r>
          </w:p>
        </w:tc>
        <w:tc>
          <w:tcPr>
            <w:tcW w:type="dxa" w:w="2160"/>
            <w:vAlign w:val="top"/>
          </w:tcPr>
          <w:p>
            <w:pPr>
              <w:spacing w:after="80" w:before="0"/>
            </w:pPr>
            <w:r>
              <w:rPr>
                <w:rFonts w:ascii="Calibri" w:hAnsi="Calibri"/>
              </w:rPr>
            </w:r>
            <w:r>
              <w:rPr>
                <w:rFonts w:ascii="Calibri" w:hAnsi="Calibri"/>
              </w:rPr>
              <w:t>$0.15/DBU</w:t>
            </w:r>
          </w:p>
        </w:tc>
        <w:tc>
          <w:tcPr>
            <w:tcW w:type="dxa" w:w="2160"/>
            <w:vAlign w:val="top"/>
          </w:tcPr>
          <w:p>
            <w:pPr>
              <w:spacing w:after="80" w:before="0"/>
            </w:pPr>
            <w:r>
              <w:rPr>
                <w:rFonts w:ascii="Calibri" w:hAnsi="Calibri"/>
              </w:rPr>
            </w:r>
            <w:r>
              <w:rPr>
                <w:rFonts w:ascii="Calibri" w:hAnsi="Calibri"/>
              </w:rPr>
              <w:t>2000 DBU/month</w:t>
            </w:r>
          </w:p>
        </w:tc>
        <w:tc>
          <w:tcPr>
            <w:tcW w:type="dxa" w:w="2160"/>
            <w:vAlign w:val="top"/>
          </w:tcPr>
          <w:p>
            <w:pPr>
              <w:spacing w:after="80" w:before="0"/>
            </w:pPr>
            <w:r>
              <w:rPr>
                <w:rFonts w:ascii="Calibri" w:hAnsi="Calibri"/>
              </w:rPr>
            </w:r>
            <w:r>
              <w:rPr>
                <w:rFonts w:ascii="Calibri" w:hAnsi="Calibri"/>
              </w:rPr>
              <w:t>$300</w:t>
            </w:r>
          </w:p>
        </w:tc>
      </w:tr>
      <w:tr>
        <w:tc>
          <w:tcPr>
            <w:tcW w:type="dxa" w:w="2160"/>
            <w:vAlign w:val="top"/>
          </w:tcPr>
          <w:p>
            <w:pPr>
              <w:spacing w:after="80" w:before="0"/>
            </w:pPr>
            <w:r>
              <w:rPr>
                <w:rFonts w:ascii="Calibri" w:hAnsi="Calibri"/>
              </w:rPr>
            </w:r>
            <w:r>
              <w:rPr>
                <w:rFonts w:ascii="Calibri" w:hAnsi="Calibri"/>
              </w:rPr>
              <w:t>ML Training</w:t>
            </w:r>
          </w:p>
        </w:tc>
        <w:tc>
          <w:tcPr>
            <w:tcW w:type="dxa" w:w="2160"/>
            <w:vAlign w:val="top"/>
          </w:tcPr>
          <w:p>
            <w:pPr>
              <w:spacing w:after="80" w:before="0"/>
            </w:pPr>
            <w:r>
              <w:rPr>
                <w:rFonts w:ascii="Calibri" w:hAnsi="Calibri"/>
              </w:rPr>
            </w:r>
            <w:r>
              <w:rPr>
                <w:rFonts w:ascii="Calibri" w:hAnsi="Calibri"/>
              </w:rPr>
              <w:t>$0.40/DBU</w:t>
            </w:r>
          </w:p>
        </w:tc>
        <w:tc>
          <w:tcPr>
            <w:tcW w:type="dxa" w:w="2160"/>
            <w:vAlign w:val="top"/>
          </w:tcPr>
          <w:p>
            <w:pPr>
              <w:spacing w:after="80" w:before="0"/>
            </w:pPr>
            <w:r>
              <w:rPr>
                <w:rFonts w:ascii="Calibri" w:hAnsi="Calibri"/>
              </w:rPr>
            </w:r>
            <w:r>
              <w:rPr>
                <w:rFonts w:ascii="Calibri" w:hAnsi="Calibri"/>
              </w:rPr>
              <w:t>500 DBU/month</w:t>
            </w:r>
          </w:p>
        </w:tc>
        <w:tc>
          <w:tcPr>
            <w:tcW w:type="dxa" w:w="2160"/>
            <w:vAlign w:val="top"/>
          </w:tcPr>
          <w:p>
            <w:pPr>
              <w:spacing w:after="80" w:before="0"/>
            </w:pPr>
            <w:r>
              <w:rPr>
                <w:rFonts w:ascii="Calibri" w:hAnsi="Calibri"/>
              </w:rPr>
            </w:r>
            <w:r>
              <w:rPr>
                <w:rFonts w:ascii="Calibri" w:hAnsi="Calibri"/>
              </w:rPr>
              <w:t>$200</w:t>
            </w:r>
          </w:p>
        </w:tc>
      </w:tr>
      <w:tr>
        <w:tc>
          <w:tcPr>
            <w:tcW w:type="dxa" w:w="2160"/>
            <w:vAlign w:val="top"/>
          </w:tcPr>
          <w:p>
            <w:pPr>
              <w:spacing w:after="80" w:before="0"/>
            </w:pPr>
            <w:r>
              <w:rPr>
                <w:rFonts w:ascii="Calibri" w:hAnsi="Calibri"/>
              </w:rPr>
            </w:r>
            <w:r>
              <w:rPr>
                <w:rFonts w:ascii="Calibri" w:hAnsi="Calibri"/>
                <w:b/>
              </w:rPr>
              <w:t>Subtotal</w:t>
            </w:r>
          </w:p>
        </w:tc>
        <w:tc>
          <w:tcPr>
            <w:tcW w:type="dxa" w:w="2160"/>
            <w:vAlign w:val="top"/>
          </w:tcPr>
          <w:p>
            <w:pPr>
              <w:spacing w:after="80" w:before="0"/>
            </w:pPr>
            <w:r>
              <w:rPr>
                <w:rFonts w:ascii="Calibri" w:hAnsi="Calibri"/>
              </w:rPr>
            </w:r>
          </w:p>
        </w:tc>
        <w:tc>
          <w:tcPr>
            <w:tcW w:type="dxa" w:w="2160"/>
            <w:vAlign w:val="top"/>
          </w:tcPr>
          <w:p>
            <w:pPr>
              <w:spacing w:after="80" w:before="0"/>
            </w:pPr>
            <w:r>
              <w:rPr>
                <w:rFonts w:ascii="Calibri" w:hAnsi="Calibri"/>
              </w:rPr>
            </w:r>
          </w:p>
        </w:tc>
        <w:tc>
          <w:tcPr>
            <w:tcW w:type="dxa" w:w="2160"/>
            <w:vAlign w:val="top"/>
          </w:tcPr>
          <w:p>
            <w:pPr>
              <w:spacing w:after="80" w:before="0"/>
            </w:pPr>
            <w:r>
              <w:rPr>
                <w:rFonts w:ascii="Calibri" w:hAnsi="Calibri"/>
              </w:rPr>
            </w:r>
            <w:r>
              <w:rPr>
                <w:rFonts w:ascii="Calibri" w:hAnsi="Calibri"/>
                <w:b/>
              </w:rPr>
              <w:t>$1,200/month</w:t>
            </w:r>
          </w:p>
        </w:tc>
      </w:tr>
      <w:tr>
        <w:tc>
          <w:tcPr>
            <w:tcW w:type="dxa" w:w="2160"/>
            <w:vAlign w:val="top"/>
          </w:tcPr>
          <w:p>
            <w:pPr>
              <w:spacing w:after="80" w:before="0"/>
            </w:pPr>
            <w:r>
              <w:rPr>
                <w:rFonts w:ascii="Calibri" w:hAnsi="Calibri"/>
              </w:rPr>
            </w:r>
            <w:r>
              <w:rPr>
                <w:rFonts w:ascii="Calibri" w:hAnsi="Calibri"/>
              </w:rPr>
              <w:t>+ Cloud infrastructure (S3, networking)</w:t>
            </w:r>
          </w:p>
        </w:tc>
        <w:tc>
          <w:tcPr>
            <w:tcW w:type="dxa" w:w="2160"/>
            <w:vAlign w:val="top"/>
          </w:tcPr>
          <w:p>
            <w:pPr>
              <w:spacing w:after="80" w:before="0"/>
            </w:pPr>
            <w:r>
              <w:rPr>
                <w:rFonts w:ascii="Calibri" w:hAnsi="Calibri"/>
              </w:rPr>
            </w:r>
          </w:p>
        </w:tc>
        <w:tc>
          <w:tcPr>
            <w:tcW w:type="dxa" w:w="2160"/>
            <w:vAlign w:val="top"/>
          </w:tcPr>
          <w:p>
            <w:pPr>
              <w:spacing w:after="80" w:before="0"/>
            </w:pPr>
            <w:r>
              <w:rPr>
                <w:rFonts w:ascii="Calibri" w:hAnsi="Calibri"/>
              </w:rPr>
            </w:r>
          </w:p>
        </w:tc>
        <w:tc>
          <w:tcPr>
            <w:tcW w:type="dxa" w:w="2160"/>
            <w:vAlign w:val="top"/>
          </w:tcPr>
          <w:p>
            <w:pPr>
              <w:spacing w:after="80" w:before="0"/>
            </w:pPr>
            <w:r>
              <w:rPr>
                <w:rFonts w:ascii="Calibri" w:hAnsi="Calibri"/>
              </w:rPr>
            </w:r>
            <w:r>
              <w:rPr>
                <w:rFonts w:ascii="Calibri" w:hAnsi="Calibri"/>
              </w:rPr>
              <w:t>+$300/month</w:t>
            </w:r>
          </w:p>
        </w:tc>
      </w:tr>
      <w:tr>
        <w:tc>
          <w:tcPr>
            <w:tcW w:type="dxa" w:w="2160"/>
            <w:vAlign w:val="top"/>
          </w:tcPr>
          <w:p>
            <w:pPr>
              <w:spacing w:after="80" w:before="0"/>
            </w:pPr>
            <w:r>
              <w:rPr>
                <w:rFonts w:ascii="Calibri" w:hAnsi="Calibri"/>
              </w:rPr>
            </w:r>
            <w:r>
              <w:rPr>
                <w:rFonts w:ascii="Calibri" w:hAnsi="Calibri"/>
                <w:b/>
              </w:rPr>
              <w:t>Total</w:t>
            </w:r>
          </w:p>
        </w:tc>
        <w:tc>
          <w:tcPr>
            <w:tcW w:type="dxa" w:w="2160"/>
            <w:vAlign w:val="top"/>
          </w:tcPr>
          <w:p>
            <w:pPr>
              <w:spacing w:after="80" w:before="0"/>
            </w:pPr>
            <w:r>
              <w:rPr>
                <w:rFonts w:ascii="Calibri" w:hAnsi="Calibri"/>
              </w:rPr>
            </w:r>
          </w:p>
        </w:tc>
        <w:tc>
          <w:tcPr>
            <w:tcW w:type="dxa" w:w="2160"/>
            <w:vAlign w:val="top"/>
          </w:tcPr>
          <w:p>
            <w:pPr>
              <w:spacing w:after="80" w:before="0"/>
            </w:pPr>
            <w:r>
              <w:rPr>
                <w:rFonts w:ascii="Calibri" w:hAnsi="Calibri"/>
              </w:rPr>
            </w:r>
          </w:p>
        </w:tc>
        <w:tc>
          <w:tcPr>
            <w:tcW w:type="dxa" w:w="2160"/>
            <w:vAlign w:val="top"/>
          </w:tcPr>
          <w:p>
            <w:pPr>
              <w:spacing w:after="80" w:before="0"/>
            </w:pPr>
            <w:r>
              <w:rPr>
                <w:rFonts w:ascii="Calibri" w:hAnsi="Calibri"/>
              </w:rPr>
            </w:r>
            <w:r>
              <w:rPr>
                <w:rFonts w:ascii="Calibri" w:hAnsi="Calibri"/>
                <w:b/>
              </w:rPr>
              <w:t>~$1,500/month</w:t>
            </w:r>
          </w:p>
        </w:tc>
      </w:tr>
    </w:tbl>
    <w:p/>
    <w:p>
      <w:pPr>
        <w:spacing w:after="120" w:before="0"/>
      </w:pPr>
      <w:r>
        <w:rPr>
          <w:b/>
        </w:rPr>
        <w:t>Projected 3-year cost:</w:t>
      </w:r>
      <w:r>
        <w:t xml:space="preserve"> ~$54,000 (assumes modest growth)</w:t>
      </w:r>
    </w:p>
    <w:p>
      <w:pPr>
        <w:pStyle w:val="Heading4"/>
        <w:spacing w:after="80" w:before="240"/>
      </w:pPr>
      <w:bookmarkStart w:id="7" w:name="Open_Lakehouse_on_TACC"/>
      <w:r>
        <w:t>Open Lakehouse on TACC</w:t>
      </w:r>
      <w:bookmarkEnd w:id="7"/>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Resource</w:t>
            </w:r>
          </w:p>
        </w:tc>
        <w:tc>
          <w:tcPr>
            <w:tcW w:type="dxa" w:w="4320"/>
            <w:vAlign w:val="top"/>
          </w:tcPr>
          <w:p>
            <w:pPr>
              <w:spacing w:after="120" w:before="0"/>
            </w:pPr>
            <w:r>
              <w:rPr>
                <w:rFonts w:ascii="Calibri" w:hAnsi="Calibri"/>
                <w:b/>
                <w:sz w:val="22"/>
              </w:rPr>
            </w:r>
            <w:r>
              <w:rPr>
                <w:rFonts w:ascii="Calibri" w:hAnsi="Calibri"/>
                <w:b/>
                <w:sz w:val="22"/>
              </w:rPr>
              <w:t>Cost</w:t>
            </w:r>
          </w:p>
        </w:tc>
      </w:tr>
      <w:tr>
        <w:tc>
          <w:tcPr>
            <w:tcW w:type="dxa" w:w="4320"/>
            <w:vAlign w:val="top"/>
          </w:tcPr>
          <w:p>
            <w:pPr>
              <w:spacing w:after="80" w:before="0"/>
            </w:pPr>
            <w:r>
              <w:rPr>
                <w:rFonts w:ascii="Calibri" w:hAnsi="Calibri"/>
              </w:rPr>
            </w:r>
            <w:r>
              <w:rPr>
                <w:rFonts w:ascii="Calibri" w:hAnsi="Calibri"/>
              </w:rPr>
              <w:t>TACC Lonestar6 allocation</w:t>
            </w:r>
          </w:p>
        </w:tc>
        <w:tc>
          <w:tcPr>
            <w:tcW w:type="dxa" w:w="4320"/>
            <w:vAlign w:val="top"/>
          </w:tcPr>
          <w:p>
            <w:pPr>
              <w:spacing w:after="80" w:before="0"/>
            </w:pPr>
            <w:r>
              <w:rPr>
                <w:rFonts w:ascii="Calibri" w:hAnsi="Calibri"/>
              </w:rPr>
            </w:r>
            <w:r>
              <w:rPr>
                <w:rFonts w:ascii="Calibri" w:hAnsi="Calibri"/>
              </w:rPr>
              <w:t>$0 (research allocation)</w:t>
            </w:r>
          </w:p>
        </w:tc>
      </w:tr>
      <w:tr>
        <w:tc>
          <w:tcPr>
            <w:tcW w:type="dxa" w:w="4320"/>
            <w:vAlign w:val="top"/>
          </w:tcPr>
          <w:p>
            <w:pPr>
              <w:spacing w:after="80" w:before="0"/>
            </w:pPr>
            <w:r>
              <w:rPr>
                <w:rFonts w:ascii="Calibri" w:hAnsi="Calibri"/>
              </w:rPr>
            </w:r>
            <w:r>
              <w:rPr>
                <w:rFonts w:ascii="Calibri" w:hAnsi="Calibri"/>
              </w:rPr>
              <w:t>Local K8s cluster (Phase 2+)</w:t>
            </w:r>
          </w:p>
        </w:tc>
        <w:tc>
          <w:tcPr>
            <w:tcW w:type="dxa" w:w="4320"/>
            <w:vAlign w:val="top"/>
          </w:tcPr>
          <w:p>
            <w:pPr>
              <w:spacing w:after="80" w:before="0"/>
            </w:pPr>
            <w:r>
              <w:rPr>
                <w:rFonts w:ascii="Calibri" w:hAnsi="Calibri"/>
              </w:rPr>
            </w:r>
            <w:r>
              <w:rPr>
                <w:rFonts w:ascii="Calibri" w:hAnsi="Calibri"/>
              </w:rPr>
              <w:t>~$5,000 hardware (one-time)</w:t>
            </w:r>
          </w:p>
        </w:tc>
      </w:tr>
      <w:tr>
        <w:tc>
          <w:tcPr>
            <w:tcW w:type="dxa" w:w="4320"/>
            <w:vAlign w:val="top"/>
          </w:tcPr>
          <w:p>
            <w:pPr>
              <w:spacing w:after="80" w:before="0"/>
            </w:pPr>
            <w:r>
              <w:rPr>
                <w:rFonts w:ascii="Calibri" w:hAnsi="Calibri"/>
              </w:rPr>
            </w:r>
            <w:r>
              <w:rPr>
                <w:rFonts w:ascii="Calibri" w:hAnsi="Calibri"/>
              </w:rPr>
              <w:t>Operational time</w:t>
            </w:r>
          </w:p>
        </w:tc>
        <w:tc>
          <w:tcPr>
            <w:tcW w:type="dxa" w:w="4320"/>
            <w:vAlign w:val="top"/>
          </w:tcPr>
          <w:p>
            <w:pPr>
              <w:spacing w:after="80" w:before="0"/>
            </w:pPr>
            <w:r>
              <w:rPr>
                <w:rFonts w:ascii="Calibri" w:hAnsi="Calibri"/>
              </w:rPr>
            </w:r>
            <w:r>
              <w:rPr>
                <w:rFonts w:ascii="Calibri" w:hAnsi="Calibri"/>
              </w:rPr>
              <w:t>Included in grad student FTE</w:t>
            </w:r>
          </w:p>
        </w:tc>
      </w:tr>
    </w:tbl>
    <w:p/>
    <w:p>
      <w:pPr>
        <w:spacing w:after="120" w:before="0"/>
      </w:pPr>
      <w:r>
        <w:rPr>
          <w:b/>
        </w:rPr>
        <w:t>Projected 3-year cost:</w:t>
      </w:r>
      <w:r>
        <w:t xml:space="preserve"> ~$5,000 infrastructure + labor already budgeted</w:t>
      </w:r>
    </w:p>
    <w:p>
      <w:pPr>
        <w:pStyle w:val="Heading4"/>
        <w:spacing w:after="80" w:before="240"/>
      </w:pPr>
      <w:bookmarkStart w:id="8" w:name="The_Hidden_Cost__Scale"/>
      <w:r>
        <w:t>The Hidden Cost: Scale</w:t>
      </w:r>
      <w:bookmarkEnd w:id="8"/>
    </w:p>
    <w:p>
      <w:pPr>
        <w:spacing w:after="120" w:before="0"/>
      </w:pPr>
      <w:r>
        <w:t>Databricks pricing scales with usage. As data volumes grow and more users query the system: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Year</w:t>
            </w:r>
          </w:p>
        </w:tc>
        <w:tc>
          <w:tcPr>
            <w:tcW w:type="dxa" w:w="2160"/>
            <w:vAlign w:val="top"/>
          </w:tcPr>
          <w:p>
            <w:pPr>
              <w:spacing w:after="120" w:before="0"/>
            </w:pPr>
            <w:r>
              <w:rPr>
                <w:rFonts w:ascii="Calibri" w:hAnsi="Calibri"/>
                <w:b/>
                <w:sz w:val="22"/>
              </w:rPr>
            </w:r>
            <w:r>
              <w:rPr>
                <w:rFonts w:ascii="Calibri" w:hAnsi="Calibri"/>
                <w:b/>
                <w:sz w:val="22"/>
              </w:rPr>
              <w:t>Data Volume</w:t>
            </w:r>
          </w:p>
        </w:tc>
        <w:tc>
          <w:tcPr>
            <w:tcW w:type="dxa" w:w="2160"/>
            <w:vAlign w:val="top"/>
          </w:tcPr>
          <w:p>
            <w:pPr>
              <w:spacing w:after="120" w:before="0"/>
            </w:pPr>
            <w:r>
              <w:rPr>
                <w:rFonts w:ascii="Calibri" w:hAnsi="Calibri"/>
                <w:b/>
                <w:sz w:val="22"/>
              </w:rPr>
            </w:r>
            <w:r>
              <w:rPr>
                <w:rFonts w:ascii="Calibri" w:hAnsi="Calibri"/>
                <w:b/>
                <w:sz w:val="22"/>
              </w:rPr>
              <w:t>Query Load</w:t>
            </w:r>
          </w:p>
        </w:tc>
        <w:tc>
          <w:tcPr>
            <w:tcW w:type="dxa" w:w="2160"/>
            <w:vAlign w:val="top"/>
          </w:tcPr>
          <w:p>
            <w:pPr>
              <w:spacing w:after="120" w:before="0"/>
            </w:pPr>
            <w:r>
              <w:rPr>
                <w:rFonts w:ascii="Calibri" w:hAnsi="Calibri"/>
                <w:b/>
                <w:sz w:val="22"/>
              </w:rPr>
            </w:r>
            <w:r>
              <w:rPr>
                <w:rFonts w:ascii="Calibri" w:hAnsi="Calibri"/>
                <w:b/>
                <w:sz w:val="22"/>
              </w:rPr>
              <w:t>Estimated Databricks Cost</w:t>
            </w:r>
          </w:p>
        </w:tc>
      </w:tr>
      <w:tr>
        <w:tc>
          <w:tcPr>
            <w:tcW w:type="dxa" w:w="2160"/>
            <w:vAlign w:val="top"/>
          </w:tcPr>
          <w:p>
            <w:pPr>
              <w:spacing w:after="80" w:before="0"/>
            </w:pPr>
            <w:r>
              <w:rPr>
                <w:rFonts w:ascii="Calibri" w:hAnsi="Calibri"/>
              </w:rPr>
            </w:r>
            <w:r>
              <w:rPr>
                <w:rFonts w:ascii="Calibri" w:hAnsi="Calibri"/>
              </w:rPr>
              <w:t>1</w:t>
            </w:r>
          </w:p>
        </w:tc>
        <w:tc>
          <w:tcPr>
            <w:tcW w:type="dxa" w:w="2160"/>
            <w:vAlign w:val="top"/>
          </w:tcPr>
          <w:p>
            <w:pPr>
              <w:spacing w:after="80" w:before="0"/>
            </w:pPr>
            <w:r>
              <w:rPr>
                <w:rFonts w:ascii="Calibri" w:hAnsi="Calibri"/>
              </w:rPr>
            </w:r>
            <w:r>
              <w:rPr>
                <w:rFonts w:ascii="Calibri" w:hAnsi="Calibri"/>
              </w:rPr>
              <w:t>100 GB</w:t>
            </w:r>
          </w:p>
        </w:tc>
        <w:tc>
          <w:tcPr>
            <w:tcW w:type="dxa" w:w="2160"/>
            <w:vAlign w:val="top"/>
          </w:tcPr>
          <w:p>
            <w:pPr>
              <w:spacing w:after="80" w:before="0"/>
            </w:pPr>
            <w:r>
              <w:rPr>
                <w:rFonts w:ascii="Calibri" w:hAnsi="Calibri"/>
              </w:rPr>
            </w:r>
            <w:r>
              <w:rPr>
                <w:rFonts w:ascii="Calibri" w:hAnsi="Calibri"/>
              </w:rPr>
              <w:t>Light</w:t>
            </w:r>
          </w:p>
        </w:tc>
        <w:tc>
          <w:tcPr>
            <w:tcW w:type="dxa" w:w="2160"/>
            <w:vAlign w:val="top"/>
          </w:tcPr>
          <w:p>
            <w:pPr>
              <w:spacing w:after="80" w:before="0"/>
            </w:pPr>
            <w:r>
              <w:rPr>
                <w:rFonts w:ascii="Calibri" w:hAnsi="Calibri"/>
              </w:rPr>
            </w:r>
            <w:r>
              <w:rPr>
                <w:rFonts w:ascii="Calibri" w:hAnsi="Calibri"/>
              </w:rPr>
              <w:t>$1,200/month</w:t>
            </w:r>
          </w:p>
        </w:tc>
      </w:tr>
      <w:tr>
        <w:tc>
          <w:tcPr>
            <w:tcW w:type="dxa" w:w="2160"/>
            <w:vAlign w:val="top"/>
          </w:tcPr>
          <w:p>
            <w:pPr>
              <w:spacing w:after="80" w:before="0"/>
            </w:pPr>
            <w:r>
              <w:rPr>
                <w:rFonts w:ascii="Calibri" w:hAnsi="Calibri"/>
              </w:rPr>
            </w:r>
            <w:r>
              <w:rPr>
                <w:rFonts w:ascii="Calibri" w:hAnsi="Calibri"/>
              </w:rPr>
              <w:t>2</w:t>
            </w:r>
          </w:p>
        </w:tc>
        <w:tc>
          <w:tcPr>
            <w:tcW w:type="dxa" w:w="2160"/>
            <w:vAlign w:val="top"/>
          </w:tcPr>
          <w:p>
            <w:pPr>
              <w:spacing w:after="80" w:before="0"/>
            </w:pPr>
            <w:r>
              <w:rPr>
                <w:rFonts w:ascii="Calibri" w:hAnsi="Calibri"/>
              </w:rPr>
            </w:r>
            <w:r>
              <w:rPr>
                <w:rFonts w:ascii="Calibri" w:hAnsi="Calibri"/>
              </w:rPr>
              <w:t>1 TB</w:t>
            </w:r>
          </w:p>
        </w:tc>
        <w:tc>
          <w:tcPr>
            <w:tcW w:type="dxa" w:w="2160"/>
            <w:vAlign w:val="top"/>
          </w:tcPr>
          <w:p>
            <w:pPr>
              <w:spacing w:after="80" w:before="0"/>
            </w:pPr>
            <w:r>
              <w:rPr>
                <w:rFonts w:ascii="Calibri" w:hAnsi="Calibri"/>
              </w:rPr>
            </w:r>
            <w:r>
              <w:rPr>
                <w:rFonts w:ascii="Calibri" w:hAnsi="Calibri"/>
              </w:rPr>
              <w:t>Moderate</w:t>
            </w:r>
          </w:p>
        </w:tc>
        <w:tc>
          <w:tcPr>
            <w:tcW w:type="dxa" w:w="2160"/>
            <w:vAlign w:val="top"/>
          </w:tcPr>
          <w:p>
            <w:pPr>
              <w:spacing w:after="80" w:before="0"/>
            </w:pPr>
            <w:r>
              <w:rPr>
                <w:rFonts w:ascii="Calibri" w:hAnsi="Calibri"/>
              </w:rPr>
            </w:r>
            <w:r>
              <w:rPr>
                <w:rFonts w:ascii="Calibri" w:hAnsi="Calibri"/>
              </w:rPr>
              <w:t>$2,500/month</w:t>
            </w:r>
          </w:p>
        </w:tc>
      </w:tr>
      <w:tr>
        <w:tc>
          <w:tcPr>
            <w:tcW w:type="dxa" w:w="2160"/>
            <w:vAlign w:val="top"/>
          </w:tcPr>
          <w:p>
            <w:pPr>
              <w:spacing w:after="80" w:before="0"/>
            </w:pPr>
            <w:r>
              <w:rPr>
                <w:rFonts w:ascii="Calibri" w:hAnsi="Calibri"/>
              </w:rPr>
            </w:r>
            <w:r>
              <w:rPr>
                <w:rFonts w:ascii="Calibri" w:hAnsi="Calibri"/>
              </w:rPr>
              <w:t>3</w:t>
            </w:r>
          </w:p>
        </w:tc>
        <w:tc>
          <w:tcPr>
            <w:tcW w:type="dxa" w:w="2160"/>
            <w:vAlign w:val="top"/>
          </w:tcPr>
          <w:p>
            <w:pPr>
              <w:spacing w:after="80" w:before="0"/>
            </w:pPr>
            <w:r>
              <w:rPr>
                <w:rFonts w:ascii="Calibri" w:hAnsi="Calibri"/>
              </w:rPr>
            </w:r>
            <w:r>
              <w:rPr>
                <w:rFonts w:ascii="Calibri" w:hAnsi="Calibri"/>
              </w:rPr>
              <w:t>10 TB</w:t>
            </w:r>
          </w:p>
        </w:tc>
        <w:tc>
          <w:tcPr>
            <w:tcW w:type="dxa" w:w="2160"/>
            <w:vAlign w:val="top"/>
          </w:tcPr>
          <w:p>
            <w:pPr>
              <w:spacing w:after="80" w:before="0"/>
            </w:pPr>
            <w:r>
              <w:rPr>
                <w:rFonts w:ascii="Calibri" w:hAnsi="Calibri"/>
              </w:rPr>
            </w:r>
            <w:r>
              <w:rPr>
                <w:rFonts w:ascii="Calibri" w:hAnsi="Calibri"/>
              </w:rPr>
              <w:t>Heavy (multi-facility)</w:t>
            </w:r>
          </w:p>
        </w:tc>
        <w:tc>
          <w:tcPr>
            <w:tcW w:type="dxa" w:w="2160"/>
            <w:vAlign w:val="top"/>
          </w:tcPr>
          <w:p>
            <w:pPr>
              <w:spacing w:after="80" w:before="0"/>
            </w:pPr>
            <w:r>
              <w:rPr>
                <w:rFonts w:ascii="Calibri" w:hAnsi="Calibri"/>
              </w:rPr>
            </w:r>
            <w:r>
              <w:rPr>
                <w:rFonts w:ascii="Calibri" w:hAnsi="Calibri"/>
              </w:rPr>
              <w:t>$6,000/month</w:t>
            </w:r>
          </w:p>
        </w:tc>
      </w:tr>
    </w:tbl>
    <w:p/>
    <w:p>
      <w:pPr>
        <w:spacing w:after="120" w:before="0"/>
      </w:pPr>
      <w:r>
        <w:t>Open lakehouse cost remains ~flat (compute is batch, not pay-per-query).</w:t>
      </w:r>
    </w:p>
    <w:p>
      <w:pPr>
        <w:pStyle w:val="Heading3"/>
        <w:spacing w:after="80" w:before="240"/>
      </w:pPr>
      <w:bookmarkStart w:id="9" w:name="bm_3__Customization_Depth"/>
      <w:r>
        <w:t>3. Customization Depth</w:t>
      </w:r>
      <w:bookmarkEnd w:id="9"/>
    </w:p>
    <w:p>
      <w:pPr>
        <w:spacing w:after="120" w:before="0"/>
      </w:pPr>
      <w:r>
        <w:t>Digital twin integration requires deep hooks into the data layer:</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Requirement</w:t>
            </w:r>
          </w:p>
        </w:tc>
        <w:tc>
          <w:tcPr>
            <w:tcW w:type="dxa" w:w="2880"/>
            <w:vAlign w:val="top"/>
          </w:tcPr>
          <w:p>
            <w:pPr>
              <w:spacing w:after="120" w:before="0"/>
            </w:pPr>
            <w:r>
              <w:rPr>
                <w:rFonts w:ascii="Calibri" w:hAnsi="Calibri"/>
                <w:b/>
                <w:sz w:val="22"/>
              </w:rPr>
            </w:r>
            <w:r>
              <w:rPr>
                <w:rFonts w:ascii="Calibri" w:hAnsi="Calibri"/>
                <w:b/>
                <w:sz w:val="22"/>
              </w:rPr>
              <w:t>Databricks</w:t>
            </w:r>
          </w:p>
        </w:tc>
        <w:tc>
          <w:tcPr>
            <w:tcW w:type="dxa" w:w="2880"/>
            <w:vAlign w:val="top"/>
          </w:tcPr>
          <w:p>
            <w:pPr>
              <w:spacing w:after="120" w:before="0"/>
            </w:pPr>
            <w:r>
              <w:rPr>
                <w:rFonts w:ascii="Calibri" w:hAnsi="Calibri"/>
                <w:b/>
                <w:sz w:val="22"/>
              </w:rPr>
            </w:r>
            <w:r>
              <w:rPr>
                <w:rFonts w:ascii="Calibri" w:hAnsi="Calibri"/>
                <w:b/>
                <w:sz w:val="22"/>
              </w:rPr>
              <w:t>Open Lakehouse</w:t>
            </w:r>
          </w:p>
        </w:tc>
      </w:tr>
      <w:tr>
        <w:tc>
          <w:tcPr>
            <w:tcW w:type="dxa" w:w="2880"/>
            <w:vAlign w:val="top"/>
          </w:tcPr>
          <w:p>
            <w:pPr>
              <w:spacing w:after="80" w:before="0"/>
            </w:pPr>
            <w:r>
              <w:rPr>
                <w:rFonts w:ascii="Calibri" w:hAnsi="Calibri"/>
              </w:rPr>
            </w:r>
            <w:r>
              <w:rPr>
                <w:rFonts w:ascii="Calibri" w:hAnsi="Calibri"/>
              </w:rPr>
              <w:t>Custom ingestion from reactor DAQ</w:t>
            </w:r>
          </w:p>
        </w:tc>
        <w:tc>
          <w:tcPr>
            <w:tcW w:type="dxa" w:w="2880"/>
            <w:vAlign w:val="top"/>
          </w:tcPr>
          <w:p>
            <w:pPr>
              <w:spacing w:after="80" w:before="0"/>
            </w:pPr>
            <w:r>
              <w:rPr>
                <w:rFonts w:ascii="Calibri" w:hAnsi="Calibri"/>
              </w:rPr>
            </w:r>
            <w:r>
              <w:rPr>
                <w:rFonts w:ascii="Calibri" w:hAnsi="Calibri"/>
              </w:rPr>
              <w:t>✅ Possible (Python notebooks)</w:t>
            </w:r>
          </w:p>
        </w:tc>
        <w:tc>
          <w:tcPr>
            <w:tcW w:type="dxa" w:w="2880"/>
            <w:vAlign w:val="top"/>
          </w:tcPr>
          <w:p>
            <w:pPr>
              <w:spacing w:after="80" w:before="0"/>
            </w:pPr>
            <w:r>
              <w:rPr>
                <w:rFonts w:ascii="Calibri" w:hAnsi="Calibri"/>
              </w:rPr>
            </w:r>
            <w:r>
              <w:rPr>
                <w:rFonts w:ascii="Calibri" w:hAnsi="Calibri"/>
              </w:rPr>
              <w:t>✅ Native (direct Iceberg writes)</w:t>
            </w:r>
          </w:p>
        </w:tc>
      </w:tr>
      <w:tr>
        <w:tc>
          <w:tcPr>
            <w:tcW w:type="dxa" w:w="2880"/>
            <w:vAlign w:val="top"/>
          </w:tcPr>
          <w:p>
            <w:pPr>
              <w:spacing w:after="80" w:before="0"/>
            </w:pPr>
            <w:r>
              <w:rPr>
                <w:rFonts w:ascii="Calibri" w:hAnsi="Calibri"/>
              </w:rPr>
            </w:r>
            <w:r>
              <w:rPr>
                <w:rFonts w:ascii="Calibri" w:hAnsi="Calibri"/>
              </w:rPr>
              <w:t>Sub-100ms query latency for DT</w:t>
            </w:r>
          </w:p>
        </w:tc>
        <w:tc>
          <w:tcPr>
            <w:tcW w:type="dxa" w:w="2880"/>
            <w:vAlign w:val="top"/>
          </w:tcPr>
          <w:p>
            <w:pPr>
              <w:spacing w:after="80" w:before="0"/>
            </w:pPr>
            <w:r>
              <w:rPr>
                <w:rFonts w:ascii="Calibri" w:hAnsi="Calibri"/>
              </w:rPr>
            </w:r>
            <w:r>
              <w:rPr>
                <w:rFonts w:ascii="Calibri" w:hAnsi="Calibri"/>
              </w:rPr>
              <w:t>⚠️ Serverless has cold start</w:t>
            </w:r>
          </w:p>
        </w:tc>
        <w:tc>
          <w:tcPr>
            <w:tcW w:type="dxa" w:w="2880"/>
            <w:vAlign w:val="top"/>
          </w:tcPr>
          <w:p>
            <w:pPr>
              <w:spacing w:after="80" w:before="0"/>
            </w:pPr>
            <w:r>
              <w:rPr>
                <w:rFonts w:ascii="Calibri" w:hAnsi="Calibri"/>
              </w:rPr>
            </w:r>
            <w:r>
              <w:rPr>
                <w:rFonts w:ascii="Calibri" w:hAnsi="Calibri"/>
              </w:rPr>
              <w:t>✅ DuckDB in-process</w:t>
            </w:r>
          </w:p>
        </w:tc>
      </w:tr>
      <w:tr>
        <w:tc>
          <w:tcPr>
            <w:tcW w:type="dxa" w:w="2880"/>
            <w:vAlign w:val="top"/>
          </w:tcPr>
          <w:p>
            <w:pPr>
              <w:spacing w:after="80" w:before="0"/>
            </w:pPr>
            <w:r>
              <w:rPr>
                <w:rFonts w:ascii="Calibri" w:hAnsi="Calibri"/>
              </w:rPr>
            </w:r>
            <w:r>
              <w:rPr>
                <w:rFonts w:ascii="Calibri" w:hAnsi="Calibri"/>
              </w:rPr>
              <w:t>Custom UDFs for physics calculations</w:t>
            </w:r>
          </w:p>
        </w:tc>
        <w:tc>
          <w:tcPr>
            <w:tcW w:type="dxa" w:w="2880"/>
            <w:vAlign w:val="top"/>
          </w:tcPr>
          <w:p>
            <w:pPr>
              <w:spacing w:after="80" w:before="0"/>
            </w:pPr>
            <w:r>
              <w:rPr>
                <w:rFonts w:ascii="Calibri" w:hAnsi="Calibri"/>
              </w:rPr>
            </w:r>
            <w:r>
              <w:rPr>
                <w:rFonts w:ascii="Calibri" w:hAnsi="Calibri"/>
              </w:rPr>
              <w:t>✅ Possible (with restrictions)</w:t>
            </w:r>
          </w:p>
        </w:tc>
        <w:tc>
          <w:tcPr>
            <w:tcW w:type="dxa" w:w="2880"/>
            <w:vAlign w:val="top"/>
          </w:tcPr>
          <w:p>
            <w:pPr>
              <w:spacing w:after="80" w:before="0"/>
            </w:pPr>
            <w:r>
              <w:rPr>
                <w:rFonts w:ascii="Calibri" w:hAnsi="Calibri"/>
              </w:rPr>
            </w:r>
            <w:r>
              <w:rPr>
                <w:rFonts w:ascii="Calibri" w:hAnsi="Calibri"/>
              </w:rPr>
              <w:t>✅ Full control</w:t>
            </w:r>
          </w:p>
        </w:tc>
      </w:tr>
      <w:tr>
        <w:tc>
          <w:tcPr>
            <w:tcW w:type="dxa" w:w="2880"/>
            <w:vAlign w:val="top"/>
          </w:tcPr>
          <w:p>
            <w:pPr>
              <w:spacing w:after="80" w:before="0"/>
            </w:pPr>
            <w:r>
              <w:rPr>
                <w:rFonts w:ascii="Calibri" w:hAnsi="Calibri"/>
              </w:rPr>
            </w:r>
            <w:r>
              <w:rPr>
                <w:rFonts w:ascii="Calibri" w:hAnsi="Calibri"/>
              </w:rPr>
              <w:t>Integration with HPC simulation codes</w:t>
            </w:r>
          </w:p>
        </w:tc>
        <w:tc>
          <w:tcPr>
            <w:tcW w:type="dxa" w:w="2880"/>
            <w:vAlign w:val="top"/>
          </w:tcPr>
          <w:p>
            <w:pPr>
              <w:spacing w:after="80" w:before="0"/>
            </w:pPr>
            <w:r>
              <w:rPr>
                <w:rFonts w:ascii="Calibri" w:hAnsi="Calibri"/>
              </w:rPr>
            </w:r>
            <w:r>
              <w:rPr>
                <w:rFonts w:ascii="Calibri" w:hAnsi="Calibri"/>
              </w:rPr>
              <w:t>⚠️ Complex (data movement)</w:t>
            </w:r>
          </w:p>
        </w:tc>
        <w:tc>
          <w:tcPr>
            <w:tcW w:type="dxa" w:w="2880"/>
            <w:vAlign w:val="top"/>
          </w:tcPr>
          <w:p>
            <w:pPr>
              <w:spacing w:after="80" w:before="0"/>
            </w:pPr>
            <w:r>
              <w:rPr>
                <w:rFonts w:ascii="Calibri" w:hAnsi="Calibri"/>
              </w:rPr>
            </w:r>
            <w:r>
              <w:rPr>
                <w:rFonts w:ascii="Calibri" w:hAnsi="Calibri"/>
              </w:rPr>
              <w:t>✅ Direct (same filesystem)</w:t>
            </w:r>
          </w:p>
        </w:tc>
      </w:tr>
      <w:tr>
        <w:tc>
          <w:tcPr>
            <w:tcW w:type="dxa" w:w="2880"/>
            <w:vAlign w:val="top"/>
          </w:tcPr>
          <w:p>
            <w:pPr>
              <w:spacing w:after="80" w:before="0"/>
            </w:pPr>
            <w:r>
              <w:rPr>
                <w:rFonts w:ascii="Calibri" w:hAnsi="Calibri"/>
              </w:rPr>
            </w:r>
            <w:r>
              <w:rPr>
                <w:rFonts w:ascii="Calibri" w:hAnsi="Calibri"/>
              </w:rPr>
              <w:t>Blockchain audit integration</w:t>
            </w:r>
          </w:p>
        </w:tc>
        <w:tc>
          <w:tcPr>
            <w:tcW w:type="dxa" w:w="2880"/>
            <w:vAlign w:val="top"/>
          </w:tcPr>
          <w:p>
            <w:pPr>
              <w:spacing w:after="80" w:before="0"/>
            </w:pPr>
            <w:r>
              <w:rPr>
                <w:rFonts w:ascii="Calibri" w:hAnsi="Calibri"/>
              </w:rPr>
            </w:r>
            <w:r>
              <w:rPr>
                <w:rFonts w:ascii="Calibri" w:hAnsi="Calibri"/>
              </w:rPr>
              <w:t>⚠️ Custom connector needed</w:t>
            </w:r>
          </w:p>
        </w:tc>
        <w:tc>
          <w:tcPr>
            <w:tcW w:type="dxa" w:w="2880"/>
            <w:vAlign w:val="top"/>
          </w:tcPr>
          <w:p>
            <w:pPr>
              <w:spacing w:after="80" w:before="0"/>
            </w:pPr>
            <w:r>
              <w:rPr>
                <w:rFonts w:ascii="Calibri" w:hAnsi="Calibri"/>
              </w:rPr>
            </w:r>
            <w:r>
              <w:rPr>
                <w:rFonts w:ascii="Calibri" w:hAnsi="Calibri"/>
              </w:rPr>
              <w:t>✅ Direct API access</w:t>
            </w:r>
          </w:p>
        </w:tc>
      </w:tr>
    </w:tbl>
    <w:p/>
    <w:p>
      <w:pPr>
        <w:spacing w:after="120" w:before="0"/>
      </w:pPr>
      <w:r>
        <w:rPr>
          <w:b/>
        </w:rPr>
        <w:t>The digital twin use case is non-standard.</w:t>
      </w:r>
      <w:r>
        <w:t xml:space="preserve"> Managed platforms optimize for BI dashboards and batch ML training—not real-time physics simulation with custom inference loops.</w:t>
      </w:r>
    </w:p>
    <w:p>
      <w:pPr>
        <w:pStyle w:val="Heading3"/>
        <w:spacing w:after="80" w:before="240"/>
      </w:pPr>
      <w:bookmarkStart w:id="10" w:name="bm_4__Operational_Complexity"/>
      <w:r>
        <w:t>4. Operational Complexity</w:t>
      </w:r>
      <w:bookmarkEnd w:id="10"/>
    </w:p>
    <w:p>
      <w:pPr>
        <w:spacing w:after="120" w:before="0"/>
      </w:pPr>
      <w:r>
        <w:t>This is where Databricks genuinely wins: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Task</w:t>
            </w:r>
          </w:p>
        </w:tc>
        <w:tc>
          <w:tcPr>
            <w:tcW w:type="dxa" w:w="2880"/>
            <w:vAlign w:val="top"/>
          </w:tcPr>
          <w:p>
            <w:pPr>
              <w:spacing w:after="120" w:before="0"/>
            </w:pPr>
            <w:r>
              <w:rPr>
                <w:rFonts w:ascii="Calibri" w:hAnsi="Calibri"/>
                <w:b/>
                <w:sz w:val="22"/>
              </w:rPr>
            </w:r>
            <w:r>
              <w:rPr>
                <w:rFonts w:ascii="Calibri" w:hAnsi="Calibri"/>
                <w:b/>
                <w:sz w:val="22"/>
              </w:rPr>
              <w:t>Databricks</w:t>
            </w:r>
          </w:p>
        </w:tc>
        <w:tc>
          <w:tcPr>
            <w:tcW w:type="dxa" w:w="2880"/>
            <w:vAlign w:val="top"/>
          </w:tcPr>
          <w:p>
            <w:pPr>
              <w:spacing w:after="120" w:before="0"/>
            </w:pPr>
            <w:r>
              <w:rPr>
                <w:rFonts w:ascii="Calibri" w:hAnsi="Calibri"/>
                <w:b/>
                <w:sz w:val="22"/>
              </w:rPr>
            </w:r>
            <w:r>
              <w:rPr>
                <w:rFonts w:ascii="Calibri" w:hAnsi="Calibri"/>
                <w:b/>
                <w:sz w:val="22"/>
              </w:rPr>
              <w:t>Open Lakehouse</w:t>
            </w:r>
          </w:p>
        </w:tc>
      </w:tr>
      <w:tr>
        <w:tc>
          <w:tcPr>
            <w:tcW w:type="dxa" w:w="2880"/>
            <w:vAlign w:val="top"/>
          </w:tcPr>
          <w:p>
            <w:pPr>
              <w:spacing w:after="80" w:before="0"/>
            </w:pPr>
            <w:r>
              <w:rPr>
                <w:rFonts w:ascii="Calibri" w:hAnsi="Calibri"/>
              </w:rPr>
            </w:r>
            <w:r>
              <w:rPr>
                <w:rFonts w:ascii="Calibri" w:hAnsi="Calibri"/>
              </w:rPr>
              <w:t>Cluster management</w:t>
            </w:r>
          </w:p>
        </w:tc>
        <w:tc>
          <w:tcPr>
            <w:tcW w:type="dxa" w:w="2880"/>
            <w:vAlign w:val="top"/>
          </w:tcPr>
          <w:p>
            <w:pPr>
              <w:spacing w:after="80" w:before="0"/>
            </w:pPr>
            <w:r>
              <w:rPr>
                <w:rFonts w:ascii="Calibri" w:hAnsi="Calibri"/>
              </w:rPr>
            </w:r>
            <w:r>
              <w:rPr>
                <w:rFonts w:ascii="Calibri" w:hAnsi="Calibri"/>
              </w:rPr>
              <w:t>Automatic</w:t>
            </w:r>
          </w:p>
        </w:tc>
        <w:tc>
          <w:tcPr>
            <w:tcW w:type="dxa" w:w="2880"/>
            <w:vAlign w:val="top"/>
          </w:tcPr>
          <w:p>
            <w:pPr>
              <w:spacing w:after="80" w:before="0"/>
            </w:pPr>
            <w:r>
              <w:rPr>
                <w:rFonts w:ascii="Calibri" w:hAnsi="Calibri"/>
              </w:rPr>
            </w:r>
            <w:r>
              <w:rPr>
                <w:rFonts w:ascii="Calibri" w:hAnsi="Calibri"/>
              </w:rPr>
              <w:t>Manual (K8s, Helm)</w:t>
            </w:r>
          </w:p>
        </w:tc>
      </w:tr>
      <w:tr>
        <w:tc>
          <w:tcPr>
            <w:tcW w:type="dxa" w:w="2880"/>
            <w:vAlign w:val="top"/>
          </w:tcPr>
          <w:p>
            <w:pPr>
              <w:spacing w:after="80" w:before="0"/>
            </w:pPr>
            <w:r>
              <w:rPr>
                <w:rFonts w:ascii="Calibri" w:hAnsi="Calibri"/>
              </w:rPr>
            </w:r>
            <w:r>
              <w:rPr>
                <w:rFonts w:ascii="Calibri" w:hAnsi="Calibri"/>
              </w:rPr>
              <w:t>Version upgrades</w:t>
            </w:r>
          </w:p>
        </w:tc>
        <w:tc>
          <w:tcPr>
            <w:tcW w:type="dxa" w:w="2880"/>
            <w:vAlign w:val="top"/>
          </w:tcPr>
          <w:p>
            <w:pPr>
              <w:spacing w:after="80" w:before="0"/>
            </w:pPr>
            <w:r>
              <w:rPr>
                <w:rFonts w:ascii="Calibri" w:hAnsi="Calibri"/>
              </w:rPr>
            </w:r>
            <w:r>
              <w:rPr>
                <w:rFonts w:ascii="Calibri" w:hAnsi="Calibri"/>
              </w:rPr>
              <w:t>Automatic</w:t>
            </w:r>
          </w:p>
        </w:tc>
        <w:tc>
          <w:tcPr>
            <w:tcW w:type="dxa" w:w="2880"/>
            <w:vAlign w:val="top"/>
          </w:tcPr>
          <w:p>
            <w:pPr>
              <w:spacing w:after="80" w:before="0"/>
            </w:pPr>
            <w:r>
              <w:rPr>
                <w:rFonts w:ascii="Calibri" w:hAnsi="Calibri"/>
              </w:rPr>
            </w:r>
            <w:r>
              <w:rPr>
                <w:rFonts w:ascii="Calibri" w:hAnsi="Calibri"/>
              </w:rPr>
              <w:t>Manual</w:t>
            </w:r>
          </w:p>
        </w:tc>
      </w:tr>
      <w:tr>
        <w:tc>
          <w:tcPr>
            <w:tcW w:type="dxa" w:w="2880"/>
            <w:vAlign w:val="top"/>
          </w:tcPr>
          <w:p>
            <w:pPr>
              <w:spacing w:after="80" w:before="0"/>
            </w:pPr>
            <w:r>
              <w:rPr>
                <w:rFonts w:ascii="Calibri" w:hAnsi="Calibri"/>
              </w:rPr>
            </w:r>
            <w:r>
              <w:rPr>
                <w:rFonts w:ascii="Calibri" w:hAnsi="Calibri"/>
              </w:rPr>
              <w:t>Security patches</w:t>
            </w:r>
          </w:p>
        </w:tc>
        <w:tc>
          <w:tcPr>
            <w:tcW w:type="dxa" w:w="2880"/>
            <w:vAlign w:val="top"/>
          </w:tcPr>
          <w:p>
            <w:pPr>
              <w:spacing w:after="80" w:before="0"/>
            </w:pPr>
            <w:r>
              <w:rPr>
                <w:rFonts w:ascii="Calibri" w:hAnsi="Calibri"/>
              </w:rPr>
            </w:r>
            <w:r>
              <w:rPr>
                <w:rFonts w:ascii="Calibri" w:hAnsi="Calibri"/>
              </w:rPr>
              <w:t>Automatic</w:t>
            </w:r>
          </w:p>
        </w:tc>
        <w:tc>
          <w:tcPr>
            <w:tcW w:type="dxa" w:w="2880"/>
            <w:vAlign w:val="top"/>
          </w:tcPr>
          <w:p>
            <w:pPr>
              <w:spacing w:after="80" w:before="0"/>
            </w:pPr>
            <w:r>
              <w:rPr>
                <w:rFonts w:ascii="Calibri" w:hAnsi="Calibri"/>
              </w:rPr>
            </w:r>
            <w:r>
              <w:rPr>
                <w:rFonts w:ascii="Calibri" w:hAnsi="Calibri"/>
              </w:rPr>
              <w:t>Manual</w:t>
            </w:r>
          </w:p>
        </w:tc>
      </w:tr>
      <w:tr>
        <w:tc>
          <w:tcPr>
            <w:tcW w:type="dxa" w:w="2880"/>
            <w:vAlign w:val="top"/>
          </w:tcPr>
          <w:p>
            <w:pPr>
              <w:spacing w:after="80" w:before="0"/>
            </w:pPr>
            <w:r>
              <w:rPr>
                <w:rFonts w:ascii="Calibri" w:hAnsi="Calibri"/>
              </w:rPr>
            </w:r>
            <w:r>
              <w:rPr>
                <w:rFonts w:ascii="Calibri" w:hAnsi="Calibri"/>
              </w:rPr>
              <w:t>Performance tuning</w:t>
            </w:r>
          </w:p>
        </w:tc>
        <w:tc>
          <w:tcPr>
            <w:tcW w:type="dxa" w:w="2880"/>
            <w:vAlign w:val="top"/>
          </w:tcPr>
          <w:p>
            <w:pPr>
              <w:spacing w:after="80" w:before="0"/>
            </w:pPr>
            <w:r>
              <w:rPr>
                <w:rFonts w:ascii="Calibri" w:hAnsi="Calibri"/>
              </w:rPr>
            </w:r>
            <w:r>
              <w:rPr>
                <w:rFonts w:ascii="Calibri" w:hAnsi="Calibri"/>
              </w:rPr>
              <w:t>Automatic (mostly)</w:t>
            </w:r>
          </w:p>
        </w:tc>
        <w:tc>
          <w:tcPr>
            <w:tcW w:type="dxa" w:w="2880"/>
            <w:vAlign w:val="top"/>
          </w:tcPr>
          <w:p>
            <w:pPr>
              <w:spacing w:after="80" w:before="0"/>
            </w:pPr>
            <w:r>
              <w:rPr>
                <w:rFonts w:ascii="Calibri" w:hAnsi="Calibri"/>
              </w:rPr>
            </w:r>
            <w:r>
              <w:rPr>
                <w:rFonts w:ascii="Calibri" w:hAnsi="Calibri"/>
              </w:rPr>
              <w:t>Manual</w:t>
            </w:r>
          </w:p>
        </w:tc>
      </w:tr>
      <w:tr>
        <w:tc>
          <w:tcPr>
            <w:tcW w:type="dxa" w:w="2880"/>
            <w:vAlign w:val="top"/>
          </w:tcPr>
          <w:p>
            <w:pPr>
              <w:spacing w:after="80" w:before="0"/>
            </w:pPr>
            <w:r>
              <w:rPr>
                <w:rFonts w:ascii="Calibri" w:hAnsi="Calibri"/>
              </w:rPr>
            </w:r>
            <w:r>
              <w:rPr>
                <w:rFonts w:ascii="Calibri" w:hAnsi="Calibri"/>
              </w:rPr>
              <w:t>Monitoring</w:t>
            </w:r>
          </w:p>
        </w:tc>
        <w:tc>
          <w:tcPr>
            <w:tcW w:type="dxa" w:w="2880"/>
            <w:vAlign w:val="top"/>
          </w:tcPr>
          <w:p>
            <w:pPr>
              <w:spacing w:after="80" w:before="0"/>
            </w:pPr>
            <w:r>
              <w:rPr>
                <w:rFonts w:ascii="Calibri" w:hAnsi="Calibri"/>
              </w:rPr>
            </w:r>
            <w:r>
              <w:rPr>
                <w:rFonts w:ascii="Calibri" w:hAnsi="Calibri"/>
              </w:rPr>
              <w:t>Built-in</w:t>
            </w:r>
          </w:p>
        </w:tc>
        <w:tc>
          <w:tcPr>
            <w:tcW w:type="dxa" w:w="2880"/>
            <w:vAlign w:val="top"/>
          </w:tcPr>
          <w:p>
            <w:pPr>
              <w:spacing w:after="80" w:before="0"/>
            </w:pPr>
            <w:r>
              <w:rPr>
                <w:rFonts w:ascii="Calibri" w:hAnsi="Calibri"/>
              </w:rPr>
            </w:r>
            <w:r>
              <w:rPr>
                <w:rFonts w:ascii="Calibri" w:hAnsi="Calibri"/>
              </w:rPr>
              <w:t>Prometheus + Grafana</w:t>
            </w:r>
          </w:p>
        </w:tc>
      </w:tr>
    </w:tbl>
    <w:p/>
    <w:p>
      <w:pPr>
        <w:spacing w:after="120" w:before="0"/>
      </w:pPr>
      <w:r>
        <w:rPr>
          <w:b/>
        </w:rPr>
        <w:t>However:</w:t>
      </w:r>
      <w:r>
        <w:t xml:space="preserve"> Modern infrastructure-as-code (Terraform, Helm, ArgoCD) has dramatically reduced operational burden. The "ops tax" for open lakehouse is real but manageable—and it's a one-time learning curve, not ongoing toil.</w:t>
      </w:r>
    </w:p>
    <w:p>
      <w:pPr>
        <w:pStyle w:val="Heading3"/>
        <w:spacing w:after="80" w:before="240"/>
      </w:pPr>
      <w:bookmarkStart w:id="11" w:name="bm_5__Skills_Transfer"/>
      <w:r>
        <w:t>5. Skills Transfer</w:t>
      </w:r>
      <w:bookmarkEnd w:id="11"/>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Platform</w:t>
            </w:r>
          </w:p>
        </w:tc>
        <w:tc>
          <w:tcPr>
            <w:tcW w:type="dxa" w:w="4320"/>
            <w:vAlign w:val="top"/>
          </w:tcPr>
          <w:p>
            <w:pPr>
              <w:spacing w:after="120" w:before="0"/>
            </w:pPr>
            <w:r>
              <w:rPr>
                <w:rFonts w:ascii="Calibri" w:hAnsi="Calibri"/>
                <w:b/>
                <w:sz w:val="22"/>
              </w:rPr>
            </w:r>
            <w:r>
              <w:rPr>
                <w:rFonts w:ascii="Calibri" w:hAnsi="Calibri"/>
                <w:b/>
                <w:sz w:val="22"/>
              </w:rPr>
              <w:t>Skills Learned</w:t>
            </w:r>
          </w:p>
        </w:tc>
      </w:tr>
      <w:tr>
        <w:tc>
          <w:tcPr>
            <w:tcW w:type="dxa" w:w="4320"/>
            <w:vAlign w:val="top"/>
          </w:tcPr>
          <w:p>
            <w:pPr>
              <w:spacing w:after="80" w:before="0"/>
            </w:pPr>
            <w:r>
              <w:rPr>
                <w:rFonts w:ascii="Calibri" w:hAnsi="Calibri"/>
              </w:rPr>
            </w:r>
            <w:r>
              <w:rPr>
                <w:rFonts w:ascii="Calibri" w:hAnsi="Calibri"/>
                <w:b/>
              </w:rPr>
              <w:t>Databricks</w:t>
            </w:r>
          </w:p>
        </w:tc>
        <w:tc>
          <w:tcPr>
            <w:tcW w:type="dxa" w:w="4320"/>
            <w:vAlign w:val="top"/>
          </w:tcPr>
          <w:p>
            <w:pPr>
              <w:spacing w:after="80" w:before="0"/>
            </w:pPr>
            <w:r>
              <w:rPr>
                <w:rFonts w:ascii="Calibri" w:hAnsi="Calibri"/>
              </w:rPr>
            </w:r>
            <w:r>
              <w:rPr>
                <w:rFonts w:ascii="Calibri" w:hAnsi="Calibri"/>
              </w:rPr>
              <w:t>Databricks-specific APIs, Delta Lake proprietary features, Unity Catalog</w:t>
            </w:r>
          </w:p>
        </w:tc>
      </w:tr>
      <w:tr>
        <w:tc>
          <w:tcPr>
            <w:tcW w:type="dxa" w:w="4320"/>
            <w:vAlign w:val="top"/>
          </w:tcPr>
          <w:p>
            <w:pPr>
              <w:spacing w:after="80" w:before="0"/>
            </w:pPr>
            <w:r>
              <w:rPr>
                <w:rFonts w:ascii="Calibri" w:hAnsi="Calibri"/>
              </w:rPr>
            </w:r>
            <w:r>
              <w:rPr>
                <w:rFonts w:ascii="Calibri" w:hAnsi="Calibri"/>
                <w:b/>
              </w:rPr>
              <w:t>Open Lakehouse</w:t>
            </w:r>
          </w:p>
        </w:tc>
        <w:tc>
          <w:tcPr>
            <w:tcW w:type="dxa" w:w="4320"/>
            <w:vAlign w:val="top"/>
          </w:tcPr>
          <w:p>
            <w:pPr>
              <w:spacing w:after="80" w:before="0"/>
            </w:pPr>
            <w:r>
              <w:rPr>
                <w:rFonts w:ascii="Calibri" w:hAnsi="Calibri"/>
              </w:rPr>
            </w:r>
            <w:r>
              <w:rPr>
                <w:rFonts w:ascii="Calibri" w:hAnsi="Calibri"/>
              </w:rPr>
              <w:t>Apache Iceberg (industry standard), dbt (industry standard), SQL (universal), Kubernetes (universal)</w:t>
            </w:r>
          </w:p>
        </w:tc>
      </w:tr>
    </w:tbl>
    <w:p/>
    <w:p>
      <w:pPr>
        <w:spacing w:after="120" w:before="0"/>
      </w:pPr>
      <w:r>
        <w:t>Students and researchers learning open lakehouse patterns gain skills transferable to any employer. Databricks expertise is valuable but narrower.</w:t>
      </w:r>
    </w:p>
    <w:p>
      <w:pPr>
        <w:pStyle w:val="Heading3"/>
        <w:spacing w:after="80" w:before="240"/>
      </w:pPr>
      <w:bookmarkStart w:id="12" w:name="bm_6__Lock-In_Risk"/>
      <w:r>
        <w:t>6. Lock-In Risk</w:t>
      </w:r>
      <w:bookmarkEnd w:id="12"/>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Scenario</w:t>
            </w:r>
          </w:p>
        </w:tc>
        <w:tc>
          <w:tcPr>
            <w:tcW w:type="dxa" w:w="2880"/>
            <w:vAlign w:val="top"/>
          </w:tcPr>
          <w:p>
            <w:pPr>
              <w:spacing w:after="120" w:before="0"/>
            </w:pPr>
            <w:r>
              <w:rPr>
                <w:rFonts w:ascii="Calibri" w:hAnsi="Calibri"/>
                <w:b/>
                <w:sz w:val="22"/>
              </w:rPr>
            </w:r>
            <w:r>
              <w:rPr>
                <w:rFonts w:ascii="Calibri" w:hAnsi="Calibri"/>
                <w:b/>
                <w:sz w:val="22"/>
              </w:rPr>
              <w:t>Databricks</w:t>
            </w:r>
          </w:p>
        </w:tc>
        <w:tc>
          <w:tcPr>
            <w:tcW w:type="dxa" w:w="2880"/>
            <w:vAlign w:val="top"/>
          </w:tcPr>
          <w:p>
            <w:pPr>
              <w:spacing w:after="120" w:before="0"/>
            </w:pPr>
            <w:r>
              <w:rPr>
                <w:rFonts w:ascii="Calibri" w:hAnsi="Calibri"/>
                <w:b/>
                <w:sz w:val="22"/>
              </w:rPr>
            </w:r>
            <w:r>
              <w:rPr>
                <w:rFonts w:ascii="Calibri" w:hAnsi="Calibri"/>
                <w:b/>
                <w:sz w:val="22"/>
              </w:rPr>
              <w:t>Open Lakehouse</w:t>
            </w:r>
          </w:p>
        </w:tc>
      </w:tr>
      <w:tr>
        <w:tc>
          <w:tcPr>
            <w:tcW w:type="dxa" w:w="2880"/>
            <w:vAlign w:val="top"/>
          </w:tcPr>
          <w:p>
            <w:pPr>
              <w:spacing w:after="80" w:before="0"/>
            </w:pPr>
            <w:r>
              <w:rPr>
                <w:rFonts w:ascii="Calibri" w:hAnsi="Calibri"/>
              </w:rPr>
            </w:r>
            <w:r>
              <w:rPr>
                <w:rFonts w:ascii="Calibri" w:hAnsi="Calibri"/>
              </w:rPr>
              <w:t>Switch to different platform</w:t>
            </w:r>
          </w:p>
        </w:tc>
        <w:tc>
          <w:tcPr>
            <w:tcW w:type="dxa" w:w="2880"/>
            <w:vAlign w:val="top"/>
          </w:tcPr>
          <w:p>
            <w:pPr>
              <w:spacing w:after="80" w:before="0"/>
            </w:pPr>
            <w:r>
              <w:rPr>
                <w:rFonts w:ascii="Calibri" w:hAnsi="Calibri"/>
              </w:rPr>
            </w:r>
            <w:r>
              <w:rPr>
                <w:rFonts w:ascii="Calibri" w:hAnsi="Calibri"/>
              </w:rPr>
              <w:t>Migrate Delta tables (complex)</w:t>
            </w:r>
          </w:p>
        </w:tc>
        <w:tc>
          <w:tcPr>
            <w:tcW w:type="dxa" w:w="2880"/>
            <w:vAlign w:val="top"/>
          </w:tcPr>
          <w:p>
            <w:pPr>
              <w:spacing w:after="80" w:before="0"/>
            </w:pPr>
            <w:r>
              <w:rPr>
                <w:rFonts w:ascii="Calibri" w:hAnsi="Calibri"/>
              </w:rPr>
            </w:r>
            <w:r>
              <w:rPr>
                <w:rFonts w:ascii="Calibri" w:hAnsi="Calibri"/>
              </w:rPr>
              <w:t>Iceberg tables portable to any engine</w:t>
            </w:r>
          </w:p>
        </w:tc>
      </w:tr>
      <w:tr>
        <w:tc>
          <w:tcPr>
            <w:tcW w:type="dxa" w:w="2880"/>
            <w:vAlign w:val="top"/>
          </w:tcPr>
          <w:p>
            <w:pPr>
              <w:spacing w:after="80" w:before="0"/>
            </w:pPr>
            <w:r>
              <w:rPr>
                <w:rFonts w:ascii="Calibri" w:hAnsi="Calibri"/>
              </w:rPr>
            </w:r>
            <w:r>
              <w:rPr>
                <w:rFonts w:ascii="Calibri" w:hAnsi="Calibri"/>
              </w:rPr>
              <w:t>Vendor price increase</w:t>
            </w:r>
          </w:p>
        </w:tc>
        <w:tc>
          <w:tcPr>
            <w:tcW w:type="dxa" w:w="2880"/>
            <w:vAlign w:val="top"/>
          </w:tcPr>
          <w:p>
            <w:pPr>
              <w:spacing w:after="80" w:before="0"/>
            </w:pPr>
            <w:r>
              <w:rPr>
                <w:rFonts w:ascii="Calibri" w:hAnsi="Calibri"/>
              </w:rPr>
            </w:r>
            <w:r>
              <w:rPr>
                <w:rFonts w:ascii="Calibri" w:hAnsi="Calibri"/>
              </w:rPr>
              <w:t>Limited negotiating power</w:t>
            </w:r>
          </w:p>
        </w:tc>
        <w:tc>
          <w:tcPr>
            <w:tcW w:type="dxa" w:w="2880"/>
            <w:vAlign w:val="top"/>
          </w:tcPr>
          <w:p>
            <w:pPr>
              <w:spacing w:after="80" w:before="0"/>
            </w:pPr>
            <w:r>
              <w:rPr>
                <w:rFonts w:ascii="Calibri" w:hAnsi="Calibri"/>
              </w:rPr>
            </w:r>
            <w:r>
              <w:rPr>
                <w:rFonts w:ascii="Calibri" w:hAnsi="Calibri"/>
              </w:rPr>
              <w:t>No vendor dependency</w:t>
            </w:r>
          </w:p>
        </w:tc>
      </w:tr>
      <w:tr>
        <w:tc>
          <w:tcPr>
            <w:tcW w:type="dxa" w:w="2880"/>
            <w:vAlign w:val="top"/>
          </w:tcPr>
          <w:p>
            <w:pPr>
              <w:spacing w:after="80" w:before="0"/>
            </w:pPr>
            <w:r>
              <w:rPr>
                <w:rFonts w:ascii="Calibri" w:hAnsi="Calibri"/>
              </w:rPr>
            </w:r>
            <w:r>
              <w:rPr>
                <w:rFonts w:ascii="Calibri" w:hAnsi="Calibri"/>
              </w:rPr>
              <w:t>Vendor deprecates feature</w:t>
            </w:r>
          </w:p>
        </w:tc>
        <w:tc>
          <w:tcPr>
            <w:tcW w:type="dxa" w:w="2880"/>
            <w:vAlign w:val="top"/>
          </w:tcPr>
          <w:p>
            <w:pPr>
              <w:spacing w:after="80" w:before="0"/>
            </w:pPr>
            <w:r>
              <w:rPr>
                <w:rFonts w:ascii="Calibri" w:hAnsi="Calibri"/>
              </w:rPr>
            </w:r>
            <w:r>
              <w:rPr>
                <w:rFonts w:ascii="Calibri" w:hAnsi="Calibri"/>
              </w:rPr>
              <w:t>Forced migration</w:t>
            </w:r>
          </w:p>
        </w:tc>
        <w:tc>
          <w:tcPr>
            <w:tcW w:type="dxa" w:w="2880"/>
            <w:vAlign w:val="top"/>
          </w:tcPr>
          <w:p>
            <w:pPr>
              <w:spacing w:after="80" w:before="0"/>
            </w:pPr>
            <w:r>
              <w:rPr>
                <w:rFonts w:ascii="Calibri" w:hAnsi="Calibri"/>
              </w:rPr>
            </w:r>
            <w:r>
              <w:rPr>
                <w:rFonts w:ascii="Calibri" w:hAnsi="Calibri"/>
              </w:rPr>
              <w:t>Community maintains alternatives</w:t>
            </w:r>
          </w:p>
        </w:tc>
      </w:tr>
      <w:tr>
        <w:tc>
          <w:tcPr>
            <w:tcW w:type="dxa" w:w="2880"/>
            <w:vAlign w:val="top"/>
          </w:tcPr>
          <w:p>
            <w:pPr>
              <w:spacing w:after="80" w:before="0"/>
            </w:pPr>
            <w:r>
              <w:rPr>
                <w:rFonts w:ascii="Calibri" w:hAnsi="Calibri"/>
              </w:rPr>
            </w:r>
            <w:r>
              <w:rPr>
                <w:rFonts w:ascii="Calibri" w:hAnsi="Calibri"/>
              </w:rPr>
              <w:t>Project ends, data archival</w:t>
            </w:r>
          </w:p>
        </w:tc>
        <w:tc>
          <w:tcPr>
            <w:tcW w:type="dxa" w:w="2880"/>
            <w:vAlign w:val="top"/>
          </w:tcPr>
          <w:p>
            <w:pPr>
              <w:spacing w:after="80" w:before="0"/>
            </w:pPr>
            <w:r>
              <w:rPr>
                <w:rFonts w:ascii="Calibri" w:hAnsi="Calibri"/>
              </w:rPr>
            </w:r>
            <w:r>
              <w:rPr>
                <w:rFonts w:ascii="Calibri" w:hAnsi="Calibri"/>
              </w:rPr>
              <w:t>Export required</w:t>
            </w:r>
          </w:p>
        </w:tc>
        <w:tc>
          <w:tcPr>
            <w:tcW w:type="dxa" w:w="2880"/>
            <w:vAlign w:val="top"/>
          </w:tcPr>
          <w:p>
            <w:pPr>
              <w:spacing w:after="80" w:before="0"/>
            </w:pPr>
            <w:r>
              <w:rPr>
                <w:rFonts w:ascii="Calibri" w:hAnsi="Calibri"/>
              </w:rPr>
            </w:r>
            <w:r>
              <w:rPr>
                <w:rFonts w:ascii="Calibri" w:hAnsi="Calibri"/>
              </w:rPr>
              <w:t>Data already in open formats</w:t>
            </w:r>
          </w:p>
        </w:tc>
      </w:tr>
    </w:tbl>
    <w:p/>
    <w:p>
      <w:pPr>
        <w:spacing w:after="120" w:before="0"/>
      </w:pPr>
      <w:r>
        <w:rPr>
          <w:b/>
        </w:rPr>
        <w:t>Iceberg is the key differentiator.</w:t>
      </w:r>
      <w:r>
        <w:t xml:space="preserve"> It's an open table format supported by Databricks, Snowflake, AWS, Google, and every major vendor. Data stored in Iceberg is not locked to any platform.</w:t>
      </w:r>
    </w:p>
    <w:p>
      <w:pPr>
        <w:pStyle w:val="Heading2"/>
        <w:spacing w:after="80" w:before="240"/>
      </w:pPr>
      <w:bookmarkStart w:id="13" w:name="The__Just_Pay_Someone__Argument"/>
      <w:r>
        <w:t>The "Just Pay Someone" Argument</w:t>
      </w:r>
      <w:bookmarkEnd w:id="13"/>
    </w:p>
    <w:p>
      <w:pPr>
        <w:spacing w:after="120" w:before="0"/>
      </w:pPr>
      <w:r>
        <w:t xml:space="preserve">The deeper question is: </w:t>
      </w:r>
      <w:r>
        <w:rPr>
          <w:b/>
        </w:rPr>
        <w:t>Should a research group be in the business of running data infrastructure?</w:t>
      </w:r>
    </w:p>
    <w:p>
      <w:pPr>
        <w:spacing w:after="120" w:before="0"/>
      </w:pPr>
      <w:r>
        <w:t>Arguments for managed platform:</w:t>
      </w:r>
    </w:p>
    <w:p>
      <w:pPr>
        <w:pStyle w:val="ListBullet"/>
        <w:spacing w:after="40" w:before="0"/>
      </w:pPr>
      <w:r>
        <w:t>Research time is more valuable than infrastructure time</w:t>
      </w:r>
    </w:p>
    <w:p>
      <w:pPr>
        <w:pStyle w:val="ListBullet"/>
        <w:spacing w:after="40" w:before="0"/>
      </w:pPr>
      <w:r>
        <w:t>Grad students should focus on science, not DevOps</w:t>
      </w:r>
    </w:p>
    <w:p>
      <w:pPr>
        <w:pStyle w:val="ListBullet"/>
        <w:spacing w:after="40" w:before="0"/>
      </w:pPr>
      <w:r>
        <w:t>Operational incidents distract from research</w:t>
      </w:r>
    </w:p>
    <w:p>
      <w:pPr>
        <w:spacing w:after="120" w:before="0"/>
      </w:pPr>
      <w:r>
        <w:t>Arguments for building capability:</w:t>
      </w:r>
    </w:p>
    <w:p>
      <w:pPr>
        <w:pStyle w:val="ListBullet"/>
        <w:spacing w:after="40" w:before="0"/>
      </w:pPr>
      <w:r>
        <w:t xml:space="preserve">Data infrastructure </w:t>
      </w:r>
      <w:r>
        <w:rPr>
          <w:i/>
        </w:rPr>
        <w:t>is</w:t>
      </w:r>
      <w:r>
        <w:t xml:space="preserve"> the research (for a digital twin platform)</w:t>
      </w:r>
    </w:p>
    <w:p>
      <w:pPr>
        <w:pStyle w:val="ListBullet"/>
        <w:spacing w:after="40" w:before="0"/>
      </w:pPr>
      <w:r>
        <w:t>Understanding the stack deeply enables novel research directions</w:t>
      </w:r>
    </w:p>
    <w:p>
      <w:pPr>
        <w:pStyle w:val="ListBullet"/>
        <w:spacing w:after="40" w:before="0"/>
      </w:pPr>
      <w:r>
        <w:t>Managed platforms constrain what's possible</w:t>
      </w:r>
    </w:p>
    <w:p>
      <w:pPr>
        <w:pStyle w:val="ListBullet"/>
        <w:spacing w:after="40" w:before="0"/>
      </w:pPr>
      <w:r>
        <w:t>Skills built are transferable and valuable</w:t>
      </w:r>
    </w:p>
    <w:p>
      <w:pPr>
        <w:spacing w:after="120" w:before="0"/>
      </w:pPr>
      <w:r>
        <w:rPr>
          <w:b/>
        </w:rPr>
        <w:t>Our position:</w:t>
      </w:r>
      <w:r>
        <w:t xml:space="preserve"> Neutron OS </w:t>
      </w:r>
      <w:r>
        <w:rPr>
          <w:i/>
        </w:rPr>
        <w:t>is</w:t>
      </w:r>
      <w:r>
        <w:t xml:space="preserve"> the research artifact. The platform architecture, the data models, the integration patterns—these are contributions to the field, not just means to an end. Building this capability is core to the project's value proposition.</w:t>
      </w:r>
    </w:p>
    <w:p>
      <w:pPr>
        <w:pStyle w:val="Heading2"/>
        <w:spacing w:after="80" w:before="240"/>
      </w:pPr>
      <w:bookmarkStart w:id="14" w:name="When_Databricks_Would_Be_Right"/>
      <w:r>
        <w:t>When Databricks Would Be Right</w:t>
      </w:r>
      <w:bookmarkEnd w:id="14"/>
    </w:p>
    <w:p>
      <w:pPr>
        <w:spacing w:after="120" w:before="0"/>
      </w:pPr>
      <w:r>
        <w:t>To be fair, Databricks would be the better choice if:</w:t>
      </w:r>
    </w:p>
    <w:p>
      <w:pPr>
        <w:pStyle w:val="ListBullet"/>
        <w:spacing w:after="40" w:before="0"/>
      </w:pPr>
      <w:r>
        <w:t>Data had no sensitivity constraints (could live anywhere)</w:t>
      </w:r>
    </w:p>
    <w:p>
      <w:pPr>
        <w:pStyle w:val="ListBullet"/>
        <w:spacing w:after="40" w:before="0"/>
      </w:pPr>
      <w:r>
        <w:t>Budget was unlimited and time was the only constraint</w:t>
      </w:r>
    </w:p>
    <w:p>
      <w:pPr>
        <w:pStyle w:val="ListBullet"/>
        <w:spacing w:after="40" w:before="0"/>
      </w:pPr>
      <w:r>
        <w:t>Use case was standard BI/ML without custom physics integration</w:t>
      </w:r>
    </w:p>
    <w:p>
      <w:pPr>
        <w:pStyle w:val="ListBullet"/>
        <w:spacing w:after="40" w:before="0"/>
      </w:pPr>
      <w:r>
        <w:t>Team had zero infrastructure experience and no desire to learn</w:t>
      </w:r>
    </w:p>
    <w:p>
      <w:pPr>
        <w:pStyle w:val="ListBullet"/>
        <w:spacing w:after="40" w:before="0"/>
      </w:pPr>
      <w:r>
        <w:t>Project was short-term with no long-term maintenance plan</w:t>
      </w:r>
    </w:p>
    <w:p>
      <w:pPr>
        <w:spacing w:after="120" w:before="0"/>
      </w:pPr>
      <w:r>
        <w:t>None of these apply to Neutron OS.</w:t>
      </w:r>
    </w:p>
    <w:p>
      <w:pPr>
        <w:pStyle w:val="Heading2"/>
        <w:spacing w:after="80" w:before="240"/>
      </w:pPr>
      <w:bookmarkStart w:id="15" w:name="Hybrid_Approaches"/>
      <w:r>
        <w:t>Hybrid Approaches</w:t>
      </w:r>
      <w:bookmarkEnd w:id="15"/>
    </w:p>
    <w:p>
      <w:pPr>
        <w:spacing w:after="120" w:before="0"/>
      </w:pPr>
      <w:r>
        <w:t>If stakeholders remain concerned, hybrid options exist:</w:t>
      </w:r>
    </w:p>
    <w:p>
      <w:pPr>
        <w:pStyle w:val="Heading3"/>
        <w:spacing w:after="80" w:before="240"/>
      </w:pPr>
      <w:bookmarkStart w:id="16" w:name="Option_A__Databricks_for_Analytics__Loca"/>
      <w:r>
        <w:t>Option A: Databricks for Analytics, Local for DT</w:t>
      </w:r>
      <w:bookmarkEnd w:id="16"/>
    </w:p>
    <w:p>
      <w:pPr>
        <w:pStyle w:val="ListBullet"/>
        <w:spacing w:after="40" w:before="0"/>
      </w:pPr>
      <w:r>
        <w:t>Use Databricks SQL for dashboards and ad-hoc queries</w:t>
      </w:r>
    </w:p>
    <w:p>
      <w:pPr>
        <w:pStyle w:val="ListBullet"/>
        <w:spacing w:after="40" w:before="0"/>
      </w:pPr>
      <w:r>
        <w:t>Keep digital twin simulation layer on local infrastructure</w:t>
      </w:r>
    </w:p>
    <w:p>
      <w:pPr>
        <w:pStyle w:val="ListBullet"/>
        <w:spacing w:after="40" w:before="0"/>
      </w:pPr>
      <w:r>
        <w:t>Sync aggregated data to Databricks for visualization</w:t>
      </w:r>
    </w:p>
    <w:p>
      <w:pPr>
        <w:spacing w:after="120" w:before="0"/>
      </w:pPr>
      <w:r>
        <w:rPr>
          <w:b/>
        </w:rPr>
        <w:t>Downside:</w:t>
      </w:r>
      <w:r>
        <w:t xml:space="preserve"> Data lives in two places; sync complexity; cost of Databricks + local.</w:t>
      </w:r>
    </w:p>
    <w:p>
      <w:pPr>
        <w:pStyle w:val="Heading3"/>
        <w:spacing w:after="80" w:before="240"/>
      </w:pPr>
      <w:bookmarkStart w:id="17" w:name="Option_B__Start_Databricks__Migrate_Late"/>
      <w:r>
        <w:t>Option B: Start Databricks, Migrate Later</w:t>
      </w:r>
      <w:bookmarkEnd w:id="17"/>
    </w:p>
    <w:p>
      <w:pPr>
        <w:pStyle w:val="ListBullet"/>
        <w:spacing w:after="40" w:before="0"/>
      </w:pPr>
      <w:r>
        <w:t>Use Databricks for rapid prototyping</w:t>
      </w:r>
    </w:p>
    <w:p>
      <w:pPr>
        <w:pStyle w:val="ListBullet"/>
        <w:spacing w:after="40" w:before="0"/>
      </w:pPr>
      <w:r>
        <w:t>Migrate to open lakehouse once patterns are proven</w:t>
      </w:r>
    </w:p>
    <w:p>
      <w:pPr>
        <w:spacing w:after="120" w:before="0"/>
      </w:pPr>
      <w:r>
        <w:rPr>
          <w:b/>
        </w:rPr>
        <w:t>Downside:</w:t>
      </w:r>
      <w:r>
        <w:t xml:space="preserve"> Migration cost is high; better to start right.</w:t>
      </w:r>
    </w:p>
    <w:p>
      <w:pPr>
        <w:pStyle w:val="Heading3"/>
        <w:spacing w:after="80" w:before="240"/>
      </w:pPr>
      <w:bookmarkStart w:id="18" w:name="Option_C__Databricks_on_GovCloud"/>
      <w:r>
        <w:t>Option C: Databricks on GovCloud</w:t>
      </w:r>
      <w:bookmarkEnd w:id="18"/>
    </w:p>
    <w:p>
      <w:pPr>
        <w:pStyle w:val="ListBullet"/>
        <w:spacing w:after="40" w:before="0"/>
      </w:pPr>
      <w:r>
        <w:t>Use Databricks in AWS GovCloud for data residency compliance</w:t>
      </w:r>
    </w:p>
    <w:p>
      <w:pPr>
        <w:pStyle w:val="ListBullet"/>
        <w:spacing w:after="40" w:before="0"/>
      </w:pPr>
      <w:r>
        <w:t>Accept higher cost for operational simplicity</w:t>
      </w:r>
    </w:p>
    <w:p>
      <w:pPr>
        <w:spacing w:after="120" w:before="0"/>
      </w:pPr>
      <w:r>
        <w:rPr>
          <w:b/>
        </w:rPr>
        <w:t>Downside:</w:t>
      </w:r>
      <w:r>
        <w:t xml:space="preserve"> GovCloud pricing is 2-3x commercial; still have customization limits.</w:t>
      </w:r>
    </w:p>
    <w:p>
      <w:pPr>
        <w:spacing w:after="120" w:before="0"/>
      </w:pPr>
      <w:r>
        <w:rPr>
          <w:b/>
        </w:rPr>
        <w:t>Recommendation:</w:t>
      </w:r>
      <w:r>
        <w:t xml:space="preserve"> None of these hybrids are better than building open lakehouse from the start. The operational complexity is manageable, and the benefits compound over time.</w:t>
      </w:r>
    </w:p>
    <w:p>
      <w:pPr>
        <w:pStyle w:val="Heading2"/>
        <w:spacing w:after="80" w:before="240"/>
      </w:pPr>
      <w:bookmarkStart w:id="19" w:name="Conclusion"/>
      <w:r>
        <w:t>Conclusion</w:t>
      </w:r>
      <w:bookmarkEnd w:id="19"/>
    </w:p>
    <w:p>
      <w:pPr>
        <w:spacing w:after="120" w:before="0"/>
      </w:pPr>
      <w:r>
        <w:t>For nuclear digital twin research:</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Criterion</w:t>
            </w:r>
          </w:p>
        </w:tc>
        <w:tc>
          <w:tcPr>
            <w:tcW w:type="dxa" w:w="2880"/>
            <w:vAlign w:val="top"/>
          </w:tcPr>
          <w:p>
            <w:pPr>
              <w:spacing w:after="120" w:before="0"/>
            </w:pPr>
            <w:r>
              <w:rPr>
                <w:rFonts w:ascii="Calibri" w:hAnsi="Calibri"/>
                <w:b/>
                <w:sz w:val="22"/>
              </w:rPr>
            </w:r>
            <w:r>
              <w:rPr>
                <w:rFonts w:ascii="Calibri" w:hAnsi="Calibri"/>
                <w:b/>
                <w:sz w:val="22"/>
              </w:rPr>
              <w:t>Winner</w:t>
            </w:r>
          </w:p>
        </w:tc>
        <w:tc>
          <w:tcPr>
            <w:tcW w:type="dxa" w:w="2880"/>
            <w:vAlign w:val="top"/>
          </w:tcPr>
          <w:p>
            <w:pPr>
              <w:spacing w:after="120" w:before="0"/>
            </w:pPr>
            <w:r>
              <w:rPr>
                <w:rFonts w:ascii="Calibri" w:hAnsi="Calibri"/>
                <w:b/>
                <w:sz w:val="22"/>
              </w:rPr>
            </w:r>
            <w:r>
              <w:rPr>
                <w:rFonts w:ascii="Calibri" w:hAnsi="Calibri"/>
                <w:b/>
                <w:sz w:val="22"/>
              </w:rPr>
              <w:t>Margin</w:t>
            </w:r>
          </w:p>
        </w:tc>
      </w:tr>
      <w:tr>
        <w:tc>
          <w:tcPr>
            <w:tcW w:type="dxa" w:w="2880"/>
            <w:vAlign w:val="top"/>
          </w:tcPr>
          <w:p>
            <w:pPr>
              <w:spacing w:after="80" w:before="0"/>
            </w:pPr>
            <w:r>
              <w:rPr>
                <w:rFonts w:ascii="Calibri" w:hAnsi="Calibri"/>
              </w:rPr>
            </w:r>
            <w:r>
              <w:rPr>
                <w:rFonts w:ascii="Calibri" w:hAnsi="Calibri"/>
              </w:rPr>
              <w:t>Data sovereignty</w:t>
            </w:r>
          </w:p>
        </w:tc>
        <w:tc>
          <w:tcPr>
            <w:tcW w:type="dxa" w:w="2880"/>
            <w:vAlign w:val="top"/>
          </w:tcPr>
          <w:p>
            <w:pPr>
              <w:spacing w:after="80" w:before="0"/>
            </w:pPr>
            <w:r>
              <w:rPr>
                <w:rFonts w:ascii="Calibri" w:hAnsi="Calibri"/>
              </w:rPr>
            </w:r>
            <w:r>
              <w:rPr>
                <w:rFonts w:ascii="Calibri" w:hAnsi="Calibri"/>
              </w:rPr>
              <w:t>Open Lakehouse</w:t>
            </w:r>
          </w:p>
        </w:tc>
        <w:tc>
          <w:tcPr>
            <w:tcW w:type="dxa" w:w="2880"/>
            <w:vAlign w:val="top"/>
          </w:tcPr>
          <w:p>
            <w:pPr>
              <w:spacing w:after="80" w:before="0"/>
            </w:pPr>
            <w:r>
              <w:rPr>
                <w:rFonts w:ascii="Calibri" w:hAnsi="Calibri"/>
              </w:rPr>
            </w:r>
            <w:r>
              <w:rPr>
                <w:rFonts w:ascii="Calibri" w:hAnsi="Calibri"/>
              </w:rPr>
              <w:t>Large</w:t>
            </w:r>
          </w:p>
        </w:tc>
      </w:tr>
      <w:tr>
        <w:tc>
          <w:tcPr>
            <w:tcW w:type="dxa" w:w="2880"/>
            <w:vAlign w:val="top"/>
          </w:tcPr>
          <w:p>
            <w:pPr>
              <w:spacing w:after="80" w:before="0"/>
            </w:pPr>
            <w:r>
              <w:rPr>
                <w:rFonts w:ascii="Calibri" w:hAnsi="Calibri"/>
              </w:rPr>
            </w:r>
            <w:r>
              <w:rPr>
                <w:rFonts w:ascii="Calibri" w:hAnsi="Calibri"/>
              </w:rPr>
              <w:t>3-year cost</w:t>
            </w:r>
          </w:p>
        </w:tc>
        <w:tc>
          <w:tcPr>
            <w:tcW w:type="dxa" w:w="2880"/>
            <w:vAlign w:val="top"/>
          </w:tcPr>
          <w:p>
            <w:pPr>
              <w:spacing w:after="80" w:before="0"/>
            </w:pPr>
            <w:r>
              <w:rPr>
                <w:rFonts w:ascii="Calibri" w:hAnsi="Calibri"/>
              </w:rPr>
            </w:r>
            <w:r>
              <w:rPr>
                <w:rFonts w:ascii="Calibri" w:hAnsi="Calibri"/>
              </w:rPr>
              <w:t>Open Lakehouse</w:t>
            </w:r>
          </w:p>
        </w:tc>
        <w:tc>
          <w:tcPr>
            <w:tcW w:type="dxa" w:w="2880"/>
            <w:vAlign w:val="top"/>
          </w:tcPr>
          <w:p>
            <w:pPr>
              <w:spacing w:after="80" w:before="0"/>
            </w:pPr>
            <w:r>
              <w:rPr>
                <w:rFonts w:ascii="Calibri" w:hAnsi="Calibri"/>
              </w:rPr>
            </w:r>
            <w:r>
              <w:rPr>
                <w:rFonts w:ascii="Calibri" w:hAnsi="Calibri"/>
              </w:rPr>
              <w:t>Moderate</w:t>
            </w:r>
          </w:p>
        </w:tc>
      </w:tr>
      <w:tr>
        <w:tc>
          <w:tcPr>
            <w:tcW w:type="dxa" w:w="2880"/>
            <w:vAlign w:val="top"/>
          </w:tcPr>
          <w:p>
            <w:pPr>
              <w:spacing w:after="80" w:before="0"/>
            </w:pPr>
            <w:r>
              <w:rPr>
                <w:rFonts w:ascii="Calibri" w:hAnsi="Calibri"/>
              </w:rPr>
            </w:r>
            <w:r>
              <w:rPr>
                <w:rFonts w:ascii="Calibri" w:hAnsi="Calibri"/>
              </w:rPr>
              <w:t>Customization</w:t>
            </w:r>
          </w:p>
        </w:tc>
        <w:tc>
          <w:tcPr>
            <w:tcW w:type="dxa" w:w="2880"/>
            <w:vAlign w:val="top"/>
          </w:tcPr>
          <w:p>
            <w:pPr>
              <w:spacing w:after="80" w:before="0"/>
            </w:pPr>
            <w:r>
              <w:rPr>
                <w:rFonts w:ascii="Calibri" w:hAnsi="Calibri"/>
              </w:rPr>
            </w:r>
            <w:r>
              <w:rPr>
                <w:rFonts w:ascii="Calibri" w:hAnsi="Calibri"/>
              </w:rPr>
              <w:t>Open Lakehouse</w:t>
            </w:r>
          </w:p>
        </w:tc>
        <w:tc>
          <w:tcPr>
            <w:tcW w:type="dxa" w:w="2880"/>
            <w:vAlign w:val="top"/>
          </w:tcPr>
          <w:p>
            <w:pPr>
              <w:spacing w:after="80" w:before="0"/>
            </w:pPr>
            <w:r>
              <w:rPr>
                <w:rFonts w:ascii="Calibri" w:hAnsi="Calibri"/>
              </w:rPr>
            </w:r>
            <w:r>
              <w:rPr>
                <w:rFonts w:ascii="Calibri" w:hAnsi="Calibri"/>
              </w:rPr>
              <w:t>Large</w:t>
            </w:r>
          </w:p>
        </w:tc>
      </w:tr>
      <w:tr>
        <w:tc>
          <w:tcPr>
            <w:tcW w:type="dxa" w:w="2880"/>
            <w:vAlign w:val="top"/>
          </w:tcPr>
          <w:p>
            <w:pPr>
              <w:spacing w:after="80" w:before="0"/>
            </w:pPr>
            <w:r>
              <w:rPr>
                <w:rFonts w:ascii="Calibri" w:hAnsi="Calibri"/>
              </w:rPr>
            </w:r>
            <w:r>
              <w:rPr>
                <w:rFonts w:ascii="Calibri" w:hAnsi="Calibri"/>
              </w:rPr>
              <w:t>Operational burden</w:t>
            </w:r>
          </w:p>
        </w:tc>
        <w:tc>
          <w:tcPr>
            <w:tcW w:type="dxa" w:w="2880"/>
            <w:vAlign w:val="top"/>
          </w:tcPr>
          <w:p>
            <w:pPr>
              <w:spacing w:after="80" w:before="0"/>
            </w:pPr>
            <w:r>
              <w:rPr>
                <w:rFonts w:ascii="Calibri" w:hAnsi="Calibri"/>
              </w:rPr>
            </w:r>
            <w:r>
              <w:rPr>
                <w:rFonts w:ascii="Calibri" w:hAnsi="Calibri"/>
              </w:rPr>
              <w:t>Databricks</w:t>
            </w:r>
          </w:p>
        </w:tc>
        <w:tc>
          <w:tcPr>
            <w:tcW w:type="dxa" w:w="2880"/>
            <w:vAlign w:val="top"/>
          </w:tcPr>
          <w:p>
            <w:pPr>
              <w:spacing w:after="80" w:before="0"/>
            </w:pPr>
            <w:r>
              <w:rPr>
                <w:rFonts w:ascii="Calibri" w:hAnsi="Calibri"/>
              </w:rPr>
            </w:r>
            <w:r>
              <w:rPr>
                <w:rFonts w:ascii="Calibri" w:hAnsi="Calibri"/>
              </w:rPr>
              <w:t>Small</w:t>
            </w:r>
          </w:p>
        </w:tc>
      </w:tr>
      <w:tr>
        <w:tc>
          <w:tcPr>
            <w:tcW w:type="dxa" w:w="2880"/>
            <w:vAlign w:val="top"/>
          </w:tcPr>
          <w:p>
            <w:pPr>
              <w:spacing w:after="80" w:before="0"/>
            </w:pPr>
            <w:r>
              <w:rPr>
                <w:rFonts w:ascii="Calibri" w:hAnsi="Calibri"/>
              </w:rPr>
            </w:r>
            <w:r>
              <w:rPr>
                <w:rFonts w:ascii="Calibri" w:hAnsi="Calibri"/>
              </w:rPr>
              <w:t>Skills transfer</w:t>
            </w:r>
          </w:p>
        </w:tc>
        <w:tc>
          <w:tcPr>
            <w:tcW w:type="dxa" w:w="2880"/>
            <w:vAlign w:val="top"/>
          </w:tcPr>
          <w:p>
            <w:pPr>
              <w:spacing w:after="80" w:before="0"/>
            </w:pPr>
            <w:r>
              <w:rPr>
                <w:rFonts w:ascii="Calibri" w:hAnsi="Calibri"/>
              </w:rPr>
            </w:r>
            <w:r>
              <w:rPr>
                <w:rFonts w:ascii="Calibri" w:hAnsi="Calibri"/>
              </w:rPr>
              <w:t>Open Lakehouse</w:t>
            </w:r>
          </w:p>
        </w:tc>
        <w:tc>
          <w:tcPr>
            <w:tcW w:type="dxa" w:w="2880"/>
            <w:vAlign w:val="top"/>
          </w:tcPr>
          <w:p>
            <w:pPr>
              <w:spacing w:after="80" w:before="0"/>
            </w:pPr>
            <w:r>
              <w:rPr>
                <w:rFonts w:ascii="Calibri" w:hAnsi="Calibri"/>
              </w:rPr>
            </w:r>
            <w:r>
              <w:rPr>
                <w:rFonts w:ascii="Calibri" w:hAnsi="Calibri"/>
              </w:rPr>
              <w:t>Moderate</w:t>
            </w:r>
          </w:p>
        </w:tc>
      </w:tr>
      <w:tr>
        <w:tc>
          <w:tcPr>
            <w:tcW w:type="dxa" w:w="2880"/>
            <w:vAlign w:val="top"/>
          </w:tcPr>
          <w:p>
            <w:pPr>
              <w:spacing w:after="80" w:before="0"/>
            </w:pPr>
            <w:r>
              <w:rPr>
                <w:rFonts w:ascii="Calibri" w:hAnsi="Calibri"/>
              </w:rPr>
            </w:r>
            <w:r>
              <w:rPr>
                <w:rFonts w:ascii="Calibri" w:hAnsi="Calibri"/>
              </w:rPr>
              <w:t>Lock-in risk</w:t>
            </w:r>
          </w:p>
        </w:tc>
        <w:tc>
          <w:tcPr>
            <w:tcW w:type="dxa" w:w="2880"/>
            <w:vAlign w:val="top"/>
          </w:tcPr>
          <w:p>
            <w:pPr>
              <w:spacing w:after="80" w:before="0"/>
            </w:pPr>
            <w:r>
              <w:rPr>
                <w:rFonts w:ascii="Calibri" w:hAnsi="Calibri"/>
              </w:rPr>
            </w:r>
            <w:r>
              <w:rPr>
                <w:rFonts w:ascii="Calibri" w:hAnsi="Calibri"/>
              </w:rPr>
              <w:t>Open Lakehouse</w:t>
            </w:r>
          </w:p>
        </w:tc>
        <w:tc>
          <w:tcPr>
            <w:tcW w:type="dxa" w:w="2880"/>
            <w:vAlign w:val="top"/>
          </w:tcPr>
          <w:p>
            <w:pPr>
              <w:spacing w:after="80" w:before="0"/>
            </w:pPr>
            <w:r>
              <w:rPr>
                <w:rFonts w:ascii="Calibri" w:hAnsi="Calibri"/>
              </w:rPr>
            </w:r>
            <w:r>
              <w:rPr>
                <w:rFonts w:ascii="Calibri" w:hAnsi="Calibri"/>
              </w:rPr>
              <w:t>Large</w:t>
            </w:r>
          </w:p>
        </w:tc>
      </w:tr>
    </w:tbl>
    <w:p/>
    <w:p>
      <w:pPr>
        <w:spacing w:after="120" w:before="0"/>
      </w:pPr>
      <w:r>
        <w:rPr>
          <w:b/>
        </w:rPr>
        <w:t>Decision:</w:t>
      </w:r>
      <w:r>
        <w:t xml:space="preserve"> Proceed with open lakehouse architecture (Iceberg + DuckDB + dbt + Dagster).</w:t>
      </w:r>
    </w:p>
    <w:p>
      <w:pPr>
        <w:spacing w:after="120" w:before="0"/>
      </w:pPr>
      <w:r>
        <w:t>The "just pay Databricks" path optimizes for short-term convenience at the cost of long-term flexibility, cost control, and research depth. For a multi-year platform that will serve multiple facilities and advance the state of nuclear digital twins, building the capability is the right investment.</w:t>
      </w:r>
    </w:p>
    <w:p>
      <w:pPr>
        <w:pStyle w:val="Heading2"/>
        <w:spacing w:after="80" w:before="240"/>
      </w:pPr>
      <w:bookmarkStart w:id="20" w:name="Appendix__Technology_Mapping"/>
      <w:r>
        <w:t>Appendix: Technology Mapping</w:t>
      </w:r>
      <w:bookmarkEnd w:id="20"/>
    </w:p>
    <w:p>
      <w:pPr>
        <w:spacing w:after="120" w:before="0"/>
      </w:pPr>
      <w:r>
        <w:t>If you're familiar with Databricks, here's how open lakehouse components map:</w:t>
      </w:r>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Databricks Component</w:t>
            </w:r>
          </w:p>
        </w:tc>
        <w:tc>
          <w:tcPr>
            <w:tcW w:type="dxa" w:w="4320"/>
            <w:vAlign w:val="top"/>
          </w:tcPr>
          <w:p>
            <w:pPr>
              <w:spacing w:after="120" w:before="0"/>
            </w:pPr>
            <w:r>
              <w:rPr>
                <w:rFonts w:ascii="Calibri" w:hAnsi="Calibri"/>
                <w:b/>
                <w:sz w:val="22"/>
              </w:rPr>
            </w:r>
            <w:r>
              <w:rPr>
                <w:rFonts w:ascii="Calibri" w:hAnsi="Calibri"/>
                <w:b/>
                <w:sz w:val="22"/>
              </w:rPr>
              <w:t>Open Lakehouse Equivalent</w:t>
            </w:r>
          </w:p>
        </w:tc>
      </w:tr>
      <w:tr>
        <w:tc>
          <w:tcPr>
            <w:tcW w:type="dxa" w:w="4320"/>
            <w:vAlign w:val="top"/>
          </w:tcPr>
          <w:p>
            <w:pPr>
              <w:spacing w:after="80" w:before="0"/>
            </w:pPr>
            <w:r>
              <w:rPr>
                <w:rFonts w:ascii="Calibri" w:hAnsi="Calibri"/>
              </w:rPr>
            </w:r>
            <w:r>
              <w:rPr>
                <w:rFonts w:ascii="Calibri" w:hAnsi="Calibri"/>
              </w:rPr>
              <w:t>Delta Lake</w:t>
            </w:r>
          </w:p>
        </w:tc>
        <w:tc>
          <w:tcPr>
            <w:tcW w:type="dxa" w:w="4320"/>
            <w:vAlign w:val="top"/>
          </w:tcPr>
          <w:p>
            <w:pPr>
              <w:spacing w:after="80" w:before="0"/>
            </w:pPr>
            <w:r>
              <w:rPr>
                <w:rFonts w:ascii="Calibri" w:hAnsi="Calibri"/>
              </w:rPr>
            </w:r>
            <w:r>
              <w:rPr>
                <w:rFonts w:ascii="Calibri" w:hAnsi="Calibri"/>
              </w:rPr>
              <w:t>Apache Iceberg</w:t>
            </w:r>
          </w:p>
        </w:tc>
      </w:tr>
      <w:tr>
        <w:tc>
          <w:tcPr>
            <w:tcW w:type="dxa" w:w="4320"/>
            <w:vAlign w:val="top"/>
          </w:tcPr>
          <w:p>
            <w:pPr>
              <w:spacing w:after="80" w:before="0"/>
            </w:pPr>
            <w:r>
              <w:rPr>
                <w:rFonts w:ascii="Calibri" w:hAnsi="Calibri"/>
              </w:rPr>
            </w:r>
            <w:r>
              <w:rPr>
                <w:rFonts w:ascii="Calibri" w:hAnsi="Calibri"/>
              </w:rPr>
              <w:t>Databricks SQL</w:t>
            </w:r>
          </w:p>
        </w:tc>
        <w:tc>
          <w:tcPr>
            <w:tcW w:type="dxa" w:w="4320"/>
            <w:vAlign w:val="top"/>
          </w:tcPr>
          <w:p>
            <w:pPr>
              <w:spacing w:after="80" w:before="0"/>
            </w:pPr>
            <w:r>
              <w:rPr>
                <w:rFonts w:ascii="Calibri" w:hAnsi="Calibri"/>
              </w:rPr>
            </w:r>
            <w:r>
              <w:rPr>
                <w:rFonts w:ascii="Calibri" w:hAnsi="Calibri"/>
              </w:rPr>
              <w:t>DuckDB (embedded) / Trino (distributed)</w:t>
            </w:r>
          </w:p>
        </w:tc>
      </w:tr>
      <w:tr>
        <w:tc>
          <w:tcPr>
            <w:tcW w:type="dxa" w:w="4320"/>
            <w:vAlign w:val="top"/>
          </w:tcPr>
          <w:p>
            <w:pPr>
              <w:spacing w:after="80" w:before="0"/>
            </w:pPr>
            <w:r>
              <w:rPr>
                <w:rFonts w:ascii="Calibri" w:hAnsi="Calibri"/>
              </w:rPr>
            </w:r>
            <w:r>
              <w:rPr>
                <w:rFonts w:ascii="Calibri" w:hAnsi="Calibri"/>
              </w:rPr>
              <w:t>Databricks Workflows</w:t>
            </w:r>
          </w:p>
        </w:tc>
        <w:tc>
          <w:tcPr>
            <w:tcW w:type="dxa" w:w="4320"/>
            <w:vAlign w:val="top"/>
          </w:tcPr>
          <w:p>
            <w:pPr>
              <w:spacing w:after="80" w:before="0"/>
            </w:pPr>
            <w:r>
              <w:rPr>
                <w:rFonts w:ascii="Calibri" w:hAnsi="Calibri"/>
              </w:rPr>
            </w:r>
            <w:r>
              <w:rPr>
                <w:rFonts w:ascii="Calibri" w:hAnsi="Calibri"/>
              </w:rPr>
              <w:t>Dagster</w:t>
            </w:r>
          </w:p>
        </w:tc>
      </w:tr>
      <w:tr>
        <w:tc>
          <w:tcPr>
            <w:tcW w:type="dxa" w:w="4320"/>
            <w:vAlign w:val="top"/>
          </w:tcPr>
          <w:p>
            <w:pPr>
              <w:spacing w:after="80" w:before="0"/>
            </w:pPr>
            <w:r>
              <w:rPr>
                <w:rFonts w:ascii="Calibri" w:hAnsi="Calibri"/>
              </w:rPr>
            </w:r>
            <w:r>
              <w:rPr>
                <w:rFonts w:ascii="Calibri" w:hAnsi="Calibri"/>
              </w:rPr>
              <w:t>Delta Live Tables</w:t>
            </w:r>
          </w:p>
        </w:tc>
        <w:tc>
          <w:tcPr>
            <w:tcW w:type="dxa" w:w="4320"/>
            <w:vAlign w:val="top"/>
          </w:tcPr>
          <w:p>
            <w:pPr>
              <w:spacing w:after="80" w:before="0"/>
            </w:pPr>
            <w:r>
              <w:rPr>
                <w:rFonts w:ascii="Calibri" w:hAnsi="Calibri"/>
              </w:rPr>
            </w:r>
            <w:r>
              <w:rPr>
                <w:rFonts w:ascii="Calibri" w:hAnsi="Calibri"/>
              </w:rPr>
              <w:t>dbt</w:t>
            </w:r>
          </w:p>
        </w:tc>
      </w:tr>
      <w:tr>
        <w:tc>
          <w:tcPr>
            <w:tcW w:type="dxa" w:w="4320"/>
            <w:vAlign w:val="top"/>
          </w:tcPr>
          <w:p>
            <w:pPr>
              <w:spacing w:after="80" w:before="0"/>
            </w:pPr>
            <w:r>
              <w:rPr>
                <w:rFonts w:ascii="Calibri" w:hAnsi="Calibri"/>
              </w:rPr>
            </w:r>
            <w:r>
              <w:rPr>
                <w:rFonts w:ascii="Calibri" w:hAnsi="Calibri"/>
              </w:rPr>
              <w:t>Unity Catalog</w:t>
            </w:r>
          </w:p>
        </w:tc>
        <w:tc>
          <w:tcPr>
            <w:tcW w:type="dxa" w:w="4320"/>
            <w:vAlign w:val="top"/>
          </w:tcPr>
          <w:p>
            <w:pPr>
              <w:spacing w:after="80" w:before="0"/>
            </w:pPr>
            <w:r>
              <w:rPr>
                <w:rFonts w:ascii="Calibri" w:hAnsi="Calibri"/>
              </w:rPr>
            </w:r>
            <w:r>
              <w:rPr>
                <w:rFonts w:ascii="Calibri" w:hAnsi="Calibri"/>
              </w:rPr>
              <w:t>OpenMetadata / Nessie</w:t>
            </w:r>
          </w:p>
        </w:tc>
      </w:tr>
      <w:tr>
        <w:tc>
          <w:tcPr>
            <w:tcW w:type="dxa" w:w="4320"/>
            <w:vAlign w:val="top"/>
          </w:tcPr>
          <w:p>
            <w:pPr>
              <w:spacing w:after="80" w:before="0"/>
            </w:pPr>
            <w:r>
              <w:rPr>
                <w:rFonts w:ascii="Calibri" w:hAnsi="Calibri"/>
              </w:rPr>
            </w:r>
            <w:r>
              <w:rPr>
                <w:rFonts w:ascii="Calibri" w:hAnsi="Calibri"/>
              </w:rPr>
              <w:t>MLflow</w:t>
            </w:r>
          </w:p>
        </w:tc>
        <w:tc>
          <w:tcPr>
            <w:tcW w:type="dxa" w:w="4320"/>
            <w:vAlign w:val="top"/>
          </w:tcPr>
          <w:p>
            <w:pPr>
              <w:spacing w:after="80" w:before="0"/>
            </w:pPr>
            <w:r>
              <w:rPr>
                <w:rFonts w:ascii="Calibri" w:hAnsi="Calibri"/>
              </w:rPr>
            </w:r>
            <w:r>
              <w:rPr>
                <w:rFonts w:ascii="Calibri" w:hAnsi="Calibri"/>
              </w:rPr>
              <w:t>MLflow (same, it's open source)</w:t>
            </w:r>
          </w:p>
        </w:tc>
      </w:tr>
      <w:tr>
        <w:tc>
          <w:tcPr>
            <w:tcW w:type="dxa" w:w="4320"/>
            <w:vAlign w:val="top"/>
          </w:tcPr>
          <w:p>
            <w:pPr>
              <w:spacing w:after="80" w:before="0"/>
            </w:pPr>
            <w:r>
              <w:rPr>
                <w:rFonts w:ascii="Calibri" w:hAnsi="Calibri"/>
              </w:rPr>
            </w:r>
            <w:r>
              <w:rPr>
                <w:rFonts w:ascii="Calibri" w:hAnsi="Calibri"/>
              </w:rPr>
              <w:t>Databricks Notebooks</w:t>
            </w:r>
          </w:p>
        </w:tc>
        <w:tc>
          <w:tcPr>
            <w:tcW w:type="dxa" w:w="4320"/>
            <w:vAlign w:val="top"/>
          </w:tcPr>
          <w:p>
            <w:pPr>
              <w:spacing w:after="80" w:before="0"/>
            </w:pPr>
            <w:r>
              <w:rPr>
                <w:rFonts w:ascii="Calibri" w:hAnsi="Calibri"/>
              </w:rPr>
            </w:r>
            <w:r>
              <w:rPr>
                <w:rFonts w:ascii="Calibri" w:hAnsi="Calibri"/>
              </w:rPr>
              <w:t>Jupyter / VS Code</w:t>
            </w:r>
          </w:p>
        </w:tc>
      </w:tr>
    </w:tbl>
    <w:p/>
    <w:p>
      <w:pPr>
        <w:spacing w:after="120" w:before="0"/>
      </w:pPr>
      <w:r>
        <w:t xml:space="preserve">The stack is different, but the </w:t>
      </w:r>
      <w:r>
        <w:rPr>
          <w:i/>
        </w:rPr>
        <w:t>patterns</w:t>
      </w:r>
      <w:r>
        <w:t xml:space="preserve"> are identical: medallion architecture, declarative transforms, observable pipelines, governed data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Display" w:hAnsi="Aptos Display"/>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Display" w:hAnsi="Aptos Display"/>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