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before="0"/>
      </w:pPr>
      <w:r>
        <w:t>Table of Contents</w:t>
      </w:r>
    </w:p>
    <w:p>
      <w:pPr>
        <w:spacing w:after="40" w:before="40"/>
        <w:ind w:left="0"/>
      </w:pPr>
      <w:hyperlink w:anchor="Product_Requirements_Document__Schedulin">
        <w:r>
          <w:rPr>
            <w:color w:val="0000FF"/>
            <w:u w:val="single"/>
          </w:rPr>
          <w:t>Product Requirements Document: Scheduling System</w:t>
        </w:r>
      </w:hyperlink>
    </w:p>
    <w:p>
      <w:pPr>
        <w:spacing w:after="40" w:before="40"/>
        <w:ind w:left="360"/>
      </w:pPr>
      <w:hyperlink w:anchor="Executive_Summary">
        <w:r>
          <w:rPr>
            <w:color w:val="0000FF"/>
            <w:u w:val="single"/>
          </w:rPr>
          <w:t>Executive Summary</w:t>
        </w:r>
      </w:hyperlink>
    </w:p>
    <w:p>
      <w:pPr>
        <w:spacing w:after="40" w:before="40"/>
        <w:ind w:left="360"/>
      </w:pPr>
      <w:hyperlink w:anchor="System_Architecture">
        <w:r>
          <w:rPr>
            <w:color w:val="0000FF"/>
            <w:u w:val="single"/>
          </w:rPr>
          <w:t>System Architecture</w:t>
        </w:r>
      </w:hyperlink>
    </w:p>
    <w:p>
      <w:pPr>
        <w:spacing w:after="40" w:before="40"/>
        <w:ind w:left="360"/>
      </w:pPr>
      <w:hyperlink w:anchor="User_Journey__Multi-Module_Scheduling">
        <w:r>
          <w:rPr>
            <w:color w:val="0000FF"/>
            <w:u w:val="single"/>
          </w:rPr>
          <w:t>User Journey: Multi-Module Scheduling</w:t>
        </w:r>
      </w:hyperlink>
    </w:p>
    <w:p>
      <w:pPr>
        <w:spacing w:after="40" w:before="40"/>
        <w:ind w:left="360"/>
      </w:pPr>
      <w:hyperlink w:anchor="Resource_Types___Constraints">
        <w:r>
          <w:rPr>
            <w:color w:val="0000FF"/>
            <w:u w:val="single"/>
          </w:rPr>
          <w:t>Resource Types &amp; Constraints</w:t>
        </w:r>
      </w:hyperlink>
    </w:p>
    <w:p>
      <w:pPr>
        <w:spacing w:after="40" w:before="40"/>
        <w:ind w:left="720"/>
      </w:pPr>
      <w:hyperlink w:anchor="Schedulable_Resources">
        <w:r>
          <w:rPr>
            <w:color w:val="0000FF"/>
            <w:u w:val="single"/>
          </w:rPr>
          <w:t>Schedulable Resources</w:t>
        </w:r>
      </w:hyperlink>
    </w:p>
    <w:p>
      <w:pPr>
        <w:spacing w:after="40" w:before="40"/>
        <w:ind w:left="720"/>
      </w:pPr>
      <w:hyperlink w:anchor="Scheduling_Rules_Engine">
        <w:r>
          <w:rPr>
            <w:color w:val="0000FF"/>
            <w:u w:val="single"/>
          </w:rPr>
          <w:t>Scheduling Rules Engine</w:t>
        </w:r>
      </w:hyperlink>
    </w:p>
    <w:p>
      <w:pPr>
        <w:spacing w:after="40" w:before="40"/>
        <w:ind w:left="360"/>
      </w:pPr>
      <w:hyperlink w:anchor="Integration_Points">
        <w:r>
          <w:rPr>
            <w:color w:val="0000FF"/>
            <w:u w:val="single"/>
          </w:rPr>
          <w:t>Integration Points</w:t>
        </w:r>
      </w:hyperlink>
    </w:p>
    <w:p>
      <w:pPr>
        <w:spacing w:after="40" w:before="40"/>
        <w:ind w:left="720"/>
      </w:pPr>
      <w:hyperlink w:anchor="Module_Interfaces">
        <w:r>
          <w:rPr>
            <w:color w:val="0000FF"/>
            <w:u w:val="single"/>
          </w:rPr>
          <w:t>Module Interfaces</w:t>
        </w:r>
      </w:hyperlink>
    </w:p>
    <w:p>
      <w:pPr>
        <w:spacing w:after="40" w:before="40"/>
        <w:ind w:left="720"/>
      </w:pPr>
      <w:hyperlink w:anchor="External_Integrations">
        <w:r>
          <w:rPr>
            <w:color w:val="0000FF"/>
            <w:u w:val="single"/>
          </w:rPr>
          <w:t>External Integrations</w:t>
        </w:r>
      </w:hyperlink>
    </w:p>
    <w:p>
      <w:pPr>
        <w:spacing w:after="40" w:before="40"/>
        <w:ind w:left="360"/>
      </w:pPr>
      <w:hyperlink w:anchor="User_Stories">
        <w:r>
          <w:rPr>
            <w:color w:val="0000FF"/>
            <w:u w:val="single"/>
          </w:rPr>
          <w:t>User Stories</w:t>
        </w:r>
      </w:hyperlink>
    </w:p>
    <w:p>
      <w:pPr>
        <w:spacing w:after="40" w:before="40"/>
        <w:ind w:left="720"/>
      </w:pPr>
      <w:hyperlink w:anchor="Schedule_Requesters">
        <w:r>
          <w:rPr>
            <w:color w:val="0000FF"/>
            <w:u w:val="single"/>
          </w:rPr>
          <w:t>Schedule Requesters</w:t>
        </w:r>
      </w:hyperlink>
    </w:p>
    <w:p>
      <w:pPr>
        <w:spacing w:after="40" w:before="40"/>
        <w:ind w:left="720"/>
      </w:pPr>
      <w:hyperlink w:anchor="Schedule_Managers">
        <w:r>
          <w:rPr>
            <w:color w:val="0000FF"/>
            <w:u w:val="single"/>
          </w:rPr>
          <w:t>Schedule Managers</w:t>
        </w:r>
      </w:hyperlink>
    </w:p>
    <w:p>
      <w:pPr>
        <w:spacing w:after="40" w:before="40"/>
        <w:ind w:left="720"/>
      </w:pPr>
      <w:hyperlink w:anchor="Schedule_Consumers">
        <w:r>
          <w:rPr>
            <w:color w:val="0000FF"/>
            <w:u w:val="single"/>
          </w:rPr>
          <w:t>Schedule Consumers</w:t>
        </w:r>
      </w:hyperlink>
    </w:p>
    <w:p>
      <w:pPr>
        <w:spacing w:after="40" w:before="40"/>
        <w:ind w:left="360"/>
      </w:pPr>
      <w:hyperlink w:anchor="Display_Requirements">
        <w:r>
          <w:rPr>
            <w:color w:val="0000FF"/>
            <w:u w:val="single"/>
          </w:rPr>
          <w:t>Display Requirements</w:t>
        </w:r>
      </w:hyperlink>
    </w:p>
    <w:p>
      <w:pPr>
        <w:spacing w:after="40" w:before="40"/>
        <w:ind w:left="720"/>
      </w:pPr>
      <w:hyperlink w:anchor="Facility_Entrance_Display">
        <w:r>
          <w:rPr>
            <w:color w:val="0000FF"/>
            <w:u w:val="single"/>
          </w:rPr>
          <w:t>Facility Entrance Display</w:t>
        </w:r>
      </w:hyperlink>
    </w:p>
    <w:p>
      <w:pPr>
        <w:spacing w:after="40" w:before="40"/>
        <w:ind w:left="720"/>
      </w:pPr>
      <w:hyperlink w:anchor="Console_4-Hour_View">
        <w:r>
          <w:rPr>
            <w:color w:val="0000FF"/>
            <w:u w:val="single"/>
          </w:rPr>
          <w:t>Console 4-Hour View</w:t>
        </w:r>
      </w:hyperlink>
    </w:p>
    <w:p>
      <w:pPr>
        <w:spacing w:after="40" w:before="40"/>
        <w:ind w:left="360"/>
      </w:pPr>
      <w:hyperlink w:anchor="Success_Metrics">
        <w:r>
          <w:rPr>
            <w:color w:val="0000FF"/>
            <w:u w:val="single"/>
          </w:rPr>
          <w:t>Success Metrics</w:t>
        </w:r>
      </w:hyperlink>
    </w:p>
    <w:p>
      <w:pPr>
        <w:spacing w:after="40" w:before="40"/>
        <w:ind w:left="360"/>
      </w:pPr>
      <w:hyperlink w:anchor="Technical_Requirements">
        <w:r>
          <w:rPr>
            <w:color w:val="0000FF"/>
            <w:u w:val="single"/>
          </w:rPr>
          <w:t>Technical Requirements</w:t>
        </w:r>
      </w:hyperlink>
    </w:p>
    <w:p>
      <w:pPr>
        <w:spacing w:after="40" w:before="40"/>
        <w:ind w:left="720"/>
      </w:pPr>
      <w:hyperlink w:anchor="Performance">
        <w:r>
          <w:rPr>
            <w:color w:val="0000FF"/>
            <w:u w:val="single"/>
          </w:rPr>
          <w:t>Performance</w:t>
        </w:r>
      </w:hyperlink>
    </w:p>
    <w:p>
      <w:pPr>
        <w:spacing w:after="40" w:before="40"/>
        <w:ind w:left="720"/>
      </w:pPr>
      <w:hyperlink w:anchor="Reliability">
        <w:r>
          <w:rPr>
            <w:color w:val="0000FF"/>
            <w:u w:val="single"/>
          </w:rPr>
          <w:t>Reliability</w:t>
        </w:r>
      </w:hyperlink>
    </w:p>
    <w:p>
      <w:pPr>
        <w:spacing w:after="40" w:before="40"/>
        <w:ind w:left="720"/>
      </w:pPr>
      <w:hyperlink w:anchor="Security">
        <w:r>
          <w:rPr>
            <w:color w:val="0000FF"/>
            <w:u w:val="single"/>
          </w:rPr>
          <w:t>Security</w:t>
        </w:r>
      </w:hyperlink>
    </w:p>
    <w:p>
      <w:pPr>
        <w:spacing w:after="40" w:before="40"/>
        <w:ind w:left="360"/>
      </w:pPr>
      <w:hyperlink w:anchor="Implementation_Phases">
        <w:r>
          <w:rPr>
            <w:color w:val="0000FF"/>
            <w:u w:val="single"/>
          </w:rPr>
          <w:t>Implementation Phases</w:t>
        </w:r>
      </w:hyperlink>
    </w:p>
    <w:p>
      <w:pPr>
        <w:spacing w:after="40" w:before="40"/>
        <w:ind w:left="720"/>
      </w:pPr>
      <w:hyperlink w:anchor="Phase_1__Core_Scheduling__Months_1-2_">
        <w:r>
          <w:rPr>
            <w:color w:val="0000FF"/>
            <w:u w:val="single"/>
          </w:rPr>
          <w:t>Phase 1: Core Scheduling (Months 1-2)</w:t>
        </w:r>
      </w:hyperlink>
    </w:p>
    <w:p>
      <w:pPr>
        <w:spacing w:after="40" w:before="40"/>
        <w:ind w:left="720"/>
      </w:pPr>
      <w:hyperlink w:anchor="Phase_2__Module_Integration__Months_2-3_">
        <w:r>
          <w:rPr>
            <w:color w:val="0000FF"/>
            <w:u w:val="single"/>
          </w:rPr>
          <w:t>Phase 2: Module Integration (Months 2-3)</w:t>
        </w:r>
      </w:hyperlink>
    </w:p>
    <w:p>
      <w:pPr>
        <w:spacing w:after="40" w:before="40"/>
        <w:ind w:left="720"/>
      </w:pPr>
      <w:hyperlink w:anchor="Phase_3__Advanced_Features__Months_3-4_">
        <w:r>
          <w:rPr>
            <w:color w:val="0000FF"/>
            <w:u w:val="single"/>
          </w:rPr>
          <w:t>Phase 3: Advanced Features (Months 3-4)</w:t>
        </w:r>
      </w:hyperlink>
    </w:p>
    <w:p>
      <w:pPr>
        <w:spacing w:after="40" w:before="40"/>
        <w:ind w:left="720"/>
      </w:pPr>
      <w:hyperlink w:anchor="Phase_4__Intelligence__Months_4-6_">
        <w:r>
          <w:rPr>
            <w:color w:val="0000FF"/>
            <w:u w:val="single"/>
          </w:rPr>
          <w:t>Phase 4: Intelligence (Months 4-6)</w:t>
        </w:r>
      </w:hyperlink>
    </w:p>
    <w:p>
      <w:r>
        <w:br w:type="page"/>
      </w:r>
    </w:p>
    <w:p>
      <w:pPr>
        <w:pStyle w:val="Heading1"/>
        <w:spacing w:after="80" w:before="240"/>
      </w:pPr>
      <w:bookmarkStart w:id="0" w:name="Product_Requirements_Document__Schedulin"/>
      <w:r>
        <w:t>Product Requirements Document: Scheduling System</w:t>
      </w:r>
      <w:bookmarkEnd w:id="0"/>
    </w:p>
    <w:p>
      <w:pPr>
        <w:spacing w:after="120" w:before="0"/>
      </w:pPr>
      <w:r>
        <w:rPr>
          <w:b/>
        </w:rPr>
        <w:t>Module:</w:t>
      </w:r>
      <w:r>
        <w:t xml:space="preserve"> Cross-Cutting Scheduling Infrastructure   </w:t>
      </w:r>
      <w:r>
        <w:rPr>
          <w:b/>
        </w:rPr>
        <w:t>Status:</w:t>
      </w:r>
      <w:r>
        <w:t xml:space="preserve"> Draft   </w:t>
      </w:r>
      <w:r>
        <w:rPr>
          <w:b/>
        </w:rPr>
        <w:t>Last Updated:</w:t>
      </w:r>
      <w:r>
        <w:t xml:space="preserve"> January 22, 2026   </w:t>
      </w:r>
      <w:r>
        <w:rPr>
          <w:b/>
        </w:rPr>
        <w:t>Stakeholder Input:</w:t>
      </w:r>
      <w:r>
        <w:t xml:space="preserve"> Jim (TJ), Khiloni Shah, Nick Luciano   </w:t>
      </w:r>
      <w:r>
        <w:rPr>
          <w:b/>
        </w:rPr>
        <w:t>Related Modules:</w:t>
      </w:r>
      <w:r>
        <w:t xml:space="preserve"> </w:t>
      </w:r>
      <w:r/>
      <w:r>
        <w:t xml:space="preserve">, </w:t>
      </w:r>
      <w:r/>
      <w:r>
        <w:t xml:space="preserve">, </w:t>
      </w:r>
      <w:r/>
      <w:r>
        <w:t xml:space="preserve">   </w:t>
      </w:r>
      <w:r>
        <w:rPr>
          <w:b/>
        </w:rPr>
        <w:t>Parent:</w:t>
      </w:r>
      <w:r>
        <w:t xml:space="preserve"> </w:t>
      </w:r>
      <w:r/>
      <w:hyperlink r:id="rId9">
        <w:r>
          <w:rPr>
            <w:color w:val="0000FF"/>
            <w:u w:val="single"/>
          </w:rPr>
          <w:t>Experiment Manager</w:t>
        </w:r>
      </w:hyperlink>
      <w:hyperlink r:id="rId10">
        <w:r>
          <w:rPr>
            <w:color w:val="0000FF"/>
            <w:u w:val="single"/>
          </w:rPr>
          <w:t>Reactor Ops Log</w:t>
        </w:r>
      </w:hyperlink>
      <w:hyperlink r:id="rId11">
        <w:r>
          <w:rPr>
            <w:color w:val="0000FF"/>
            <w:u w:val="single"/>
          </w:rPr>
          <w:t>Medical Isotope</w:t>
        </w:r>
      </w:hyperlink>
      <w:hyperlink r:id="rId12">
        <w:r>
          <w:rPr>
            <w:color w:val="0000FF"/>
            <w:u w:val="single"/>
          </w:rPr>
          <w:t>Executive PRD</w:t>
        </w:r>
      </w:hyperlink>
    </w:p>
    <w:p>
      <w:pPr>
        <w:pStyle w:val="Heading2"/>
        <w:spacing w:after="80" w:before="240"/>
      </w:pPr>
      <w:bookmarkStart w:id="1" w:name="Executive_Summary"/>
      <w:r>
        <w:t>Executive Summary</w:t>
      </w:r>
      <w:bookmarkEnd w:id="1"/>
    </w:p>
    <w:p>
      <w:pPr>
        <w:spacing w:after="120" w:before="0"/>
      </w:pPr>
      <w:r>
        <w:t xml:space="preserve">The Scheduling System is a </w:t>
      </w:r>
      <w:r>
        <w:rPr>
          <w:b/>
        </w:rPr>
        <w:t>cross-cutting concern</w:t>
      </w:r>
      <w:r>
        <w:t xml:space="preserve"> that provides unified time management across all Neutron OS modules. It handles reactor time allocation, facility bookings, staff assignments, maintenance windows, and regulatory inspection scheduling. Rather than each module implementing its own scheduling logic, this centralized system ensures consistency, prevents conflicts, and provides holistic visibility.</w:t>
      </w:r>
    </w:p>
    <w:p>
      <w:pPr>
        <w:spacing w:after="120" w:before="0"/>
      </w:pPr>
      <w:r>
        <w:rPr>
          <w:b/>
        </w:rPr>
        <w:t>Key Principle:</w:t>
      </w:r>
      <w:r>
        <w:t xml:space="preserve"> Scheduling is about </w:t>
      </w:r>
      <w:r>
        <w:rPr>
          <w:b/>
        </w:rPr>
        <w:t>time slot allocation and conflict resolution</w:t>
      </w:r>
      <w:r>
        <w:t>, not about the specifics of what happens in those slots. The Experiment Manager, Reactor Ops Log, and other modules consume scheduling services but don't own them.</w:t>
      </w:r>
    </w:p>
    <w:p>
      <w:pPr>
        <w:pStyle w:val="Heading2"/>
        <w:spacing w:after="40" w:before="240"/>
      </w:pPr>
      <w:bookmarkStart w:id="2" w:name="System_Architecture"/>
      <w:r>
        <w:t>System Architecture</w:t>
      </w:r>
      <w:bookmarkEnd w:id="2"/>
    </w:p>
    <w:p>
      <w:pPr>
        <w:spacing w:after="240" w:before="0"/>
        <w:jc w:val="center"/>
      </w:pPr>
      <w:r>
        <w:drawing>
          <wp:inline xmlns:a="http://schemas.openxmlformats.org/drawingml/2006/main" xmlns:pic="http://schemas.openxmlformats.org/drawingml/2006/picture">
            <wp:extent cx="5943600" cy="3974782"/>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943600" cy="3974782"/>
                    </a:xfrm>
                    <a:prstGeom prst="rect"/>
                  </pic:spPr>
                </pic:pic>
              </a:graphicData>
            </a:graphic>
          </wp:inline>
        </w:drawing>
      </w:r>
    </w:p>
    <w:p>
      <w:pPr>
        <w:pStyle w:val="Heading2"/>
        <w:spacing w:after="40" w:before="240"/>
      </w:pPr>
      <w:bookmarkStart w:id="3" w:name="User_Journey__Multi-Module_Scheduling"/>
      <w:r>
        <w:t>User Journey: Multi-Module Scheduling</w:t>
      </w:r>
      <w:bookmarkEnd w:id="3"/>
    </w:p>
    <w:p>
      <w:pPr>
        <w:spacing w:after="240" w:before="0"/>
        <w:jc w:val="center"/>
      </w:pPr>
      <w:r>
        <w:drawing>
          <wp:inline xmlns:a="http://schemas.openxmlformats.org/drawingml/2006/main" xmlns:pic="http://schemas.openxmlformats.org/drawingml/2006/picture">
            <wp:extent cx="5943600" cy="923734"/>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943600" cy="923734"/>
                    </a:xfrm>
                    <a:prstGeom prst="rect"/>
                  </pic:spPr>
                </pic:pic>
              </a:graphicData>
            </a:graphic>
          </wp:inline>
        </w:drawing>
      </w:r>
    </w:p>
    <w:p>
      <w:pPr>
        <w:pStyle w:val="Heading2"/>
        <w:spacing w:after="80" w:before="240"/>
      </w:pPr>
      <w:bookmarkStart w:id="4" w:name="Resource_Types___Constraints"/>
      <w:r>
        <w:t>Resource Types &amp; Constraints</w:t>
      </w:r>
      <w:bookmarkEnd w:id="4"/>
    </w:p>
    <w:p>
      <w:pPr>
        <w:pStyle w:val="Heading3"/>
        <w:spacing w:after="80" w:before="240"/>
      </w:pPr>
      <w:bookmarkStart w:id="5" w:name="Schedulable_Resources"/>
      <w:r>
        <w:t>Schedulable Resources</w:t>
      </w:r>
      <w:bookmarkEnd w:id="5"/>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Resource Type</w:t>
            </w:r>
          </w:p>
        </w:tc>
        <w:tc>
          <w:tcPr>
            <w:tcW w:type="dxa" w:w="2160"/>
            <w:vAlign w:val="top"/>
          </w:tcPr>
          <w:p>
            <w:pPr>
              <w:spacing w:after="120" w:before="0"/>
            </w:pPr>
            <w:r>
              <w:rPr>
                <w:rFonts w:ascii="Calibri" w:hAnsi="Calibri"/>
                <w:b/>
                <w:sz w:val="22"/>
              </w:rPr>
            </w:r>
            <w:r>
              <w:rPr>
                <w:rFonts w:ascii="Calibri" w:hAnsi="Calibri"/>
                <w:b/>
                <w:sz w:val="22"/>
              </w:rPr>
              <w:t>Examples</w:t>
            </w:r>
          </w:p>
        </w:tc>
        <w:tc>
          <w:tcPr>
            <w:tcW w:type="dxa" w:w="2160"/>
            <w:vAlign w:val="top"/>
          </w:tcPr>
          <w:p>
            <w:pPr>
              <w:spacing w:after="120" w:before="0"/>
            </w:pPr>
            <w:r>
              <w:rPr>
                <w:rFonts w:ascii="Calibri" w:hAnsi="Calibri"/>
                <w:b/>
                <w:sz w:val="22"/>
              </w:rPr>
            </w:r>
            <w:r>
              <w:rPr>
                <w:rFonts w:ascii="Calibri" w:hAnsi="Calibri"/>
                <w:b/>
                <w:sz w:val="22"/>
              </w:rPr>
              <w:t>Constraints</w:t>
            </w:r>
          </w:p>
        </w:tc>
        <w:tc>
          <w:tcPr>
            <w:tcW w:type="dxa" w:w="2160"/>
            <w:vAlign w:val="top"/>
          </w:tcPr>
          <w:p>
            <w:pPr>
              <w:spacing w:after="120" w:before="0"/>
            </w:pPr>
            <w:r>
              <w:rPr>
                <w:rFonts w:ascii="Calibri" w:hAnsi="Calibri"/>
                <w:b/>
                <w:sz w:val="22"/>
              </w:rPr>
            </w:r>
            <w:r>
              <w:rPr>
                <w:rFonts w:ascii="Calibri" w:hAnsi="Calibri"/>
                <w:b/>
                <w:sz w:val="22"/>
              </w:rPr>
              <w:t>Priority</w:t>
            </w:r>
          </w:p>
        </w:tc>
      </w:tr>
      <w:tr>
        <w:tc>
          <w:tcPr>
            <w:tcW w:type="dxa" w:w="2160"/>
            <w:vAlign w:val="top"/>
          </w:tcPr>
          <w:p>
            <w:pPr>
              <w:spacing w:after="80" w:before="0"/>
            </w:pPr>
            <w:r>
              <w:rPr>
                <w:rFonts w:ascii="Calibri" w:hAnsi="Calibri"/>
              </w:rPr>
            </w:r>
            <w:r>
              <w:rPr>
                <w:rFonts w:ascii="Calibri" w:hAnsi="Calibri"/>
                <w:b/>
              </w:rPr>
              <w:t>Reactor Time</w:t>
            </w:r>
          </w:p>
        </w:tc>
        <w:tc>
          <w:tcPr>
            <w:tcW w:type="dxa" w:w="2160"/>
            <w:vAlign w:val="top"/>
          </w:tcPr>
          <w:p>
            <w:pPr>
              <w:spacing w:after="80" w:before="0"/>
            </w:pPr>
            <w:r>
              <w:rPr>
                <w:rFonts w:ascii="Calibri" w:hAnsi="Calibri"/>
              </w:rPr>
            </w:r>
            <w:r>
              <w:rPr>
                <w:rFonts w:ascii="Calibri" w:hAnsi="Calibri"/>
              </w:rPr>
              <w:t>Core operations, power levels</w:t>
            </w:r>
          </w:p>
        </w:tc>
        <w:tc>
          <w:tcPr>
            <w:tcW w:type="dxa" w:w="2160"/>
            <w:vAlign w:val="top"/>
          </w:tcPr>
          <w:p>
            <w:pPr>
              <w:spacing w:after="80" w:before="0"/>
            </w:pPr>
            <w:r>
              <w:rPr>
                <w:rFonts w:ascii="Calibri" w:hAnsi="Calibri"/>
              </w:rPr>
            </w:r>
            <w:r>
              <w:rPr>
                <w:rFonts w:ascii="Calibri" w:hAnsi="Calibri"/>
              </w:rPr>
              <w:t>Safety limits, maintenance windows</w:t>
            </w:r>
          </w:p>
        </w:tc>
        <w:tc>
          <w:tcPr>
            <w:tcW w:type="dxa" w:w="2160"/>
            <w:vAlign w:val="top"/>
          </w:tcPr>
          <w:p>
            <w:pPr>
              <w:spacing w:after="80" w:before="0"/>
            </w:pPr>
            <w:r>
              <w:rPr>
                <w:rFonts w:ascii="Calibri" w:hAnsi="Calibri"/>
              </w:rPr>
            </w:r>
            <w:r>
              <w:rPr>
                <w:rFonts w:ascii="Calibri" w:hAnsi="Calibri"/>
              </w:rPr>
              <w:t>Critical</w:t>
            </w:r>
          </w:p>
        </w:tc>
      </w:tr>
      <w:tr>
        <w:tc>
          <w:tcPr>
            <w:tcW w:type="dxa" w:w="2160"/>
            <w:vAlign w:val="top"/>
          </w:tcPr>
          <w:p>
            <w:pPr>
              <w:spacing w:after="80" w:before="0"/>
            </w:pPr>
            <w:r>
              <w:rPr>
                <w:rFonts w:ascii="Calibri" w:hAnsi="Calibri"/>
              </w:rPr>
            </w:r>
            <w:r>
              <w:rPr>
                <w:rFonts w:ascii="Calibri" w:hAnsi="Calibri"/>
                <w:b/>
              </w:rPr>
              <w:t>Facilities</w:t>
            </w:r>
          </w:p>
        </w:tc>
        <w:tc>
          <w:tcPr>
            <w:tcW w:type="dxa" w:w="2160"/>
            <w:vAlign w:val="top"/>
          </w:tcPr>
          <w:p>
            <w:pPr>
              <w:spacing w:after="80" w:before="0"/>
            </w:pPr>
            <w:r>
              <w:rPr>
                <w:rFonts w:ascii="Calibri" w:hAnsi="Calibri"/>
              </w:rPr>
            </w:r>
            <w:r>
              <w:rPr>
                <w:rFonts w:ascii="Calibri" w:hAnsi="Calibri"/>
              </w:rPr>
              <w:t>Beam ports, pneumatic rabbit, thermal column</w:t>
            </w:r>
          </w:p>
        </w:tc>
        <w:tc>
          <w:tcPr>
            <w:tcW w:type="dxa" w:w="2160"/>
            <w:vAlign w:val="top"/>
          </w:tcPr>
          <w:p>
            <w:pPr>
              <w:spacing w:after="80" w:before="0"/>
            </w:pPr>
            <w:r>
              <w:rPr>
                <w:rFonts w:ascii="Calibri" w:hAnsi="Calibri"/>
              </w:rPr>
            </w:r>
            <w:r>
              <w:rPr>
                <w:rFonts w:ascii="Calibri" w:hAnsi="Calibri"/>
              </w:rPr>
              <w:t>One experiment at a time</w:t>
            </w:r>
          </w:p>
        </w:tc>
        <w:tc>
          <w:tcPr>
            <w:tcW w:type="dxa" w:w="2160"/>
            <w:vAlign w:val="top"/>
          </w:tcPr>
          <w:p>
            <w:pPr>
              <w:spacing w:after="80" w:before="0"/>
            </w:pPr>
            <w:r>
              <w:rPr>
                <w:rFonts w:ascii="Calibri" w:hAnsi="Calibri"/>
              </w:rPr>
            </w:r>
            <w:r>
              <w:rPr>
                <w:rFonts w:ascii="Calibri" w:hAnsi="Calibri"/>
              </w:rPr>
              <w:t>High</w:t>
            </w:r>
          </w:p>
        </w:tc>
      </w:tr>
      <w:tr>
        <w:tc>
          <w:tcPr>
            <w:tcW w:type="dxa" w:w="2160"/>
            <w:vAlign w:val="top"/>
          </w:tcPr>
          <w:p>
            <w:pPr>
              <w:spacing w:after="80" w:before="0"/>
            </w:pPr>
            <w:r>
              <w:rPr>
                <w:rFonts w:ascii="Calibri" w:hAnsi="Calibri"/>
              </w:rPr>
            </w:r>
            <w:r>
              <w:rPr>
                <w:rFonts w:ascii="Calibri" w:hAnsi="Calibri"/>
                <w:b/>
              </w:rPr>
              <w:t>Staff</w:t>
            </w:r>
          </w:p>
        </w:tc>
        <w:tc>
          <w:tcPr>
            <w:tcW w:type="dxa" w:w="2160"/>
            <w:vAlign w:val="top"/>
          </w:tcPr>
          <w:p>
            <w:pPr>
              <w:spacing w:after="80" w:before="0"/>
            </w:pPr>
            <w:r>
              <w:rPr>
                <w:rFonts w:ascii="Calibri" w:hAnsi="Calibri"/>
              </w:rPr>
            </w:r>
            <w:r>
              <w:rPr>
                <w:rFonts w:ascii="Calibri" w:hAnsi="Calibri"/>
              </w:rPr>
              <w:t>SRO on console, HP coverage</w:t>
            </w:r>
          </w:p>
        </w:tc>
        <w:tc>
          <w:tcPr>
            <w:tcW w:type="dxa" w:w="2160"/>
            <w:vAlign w:val="top"/>
          </w:tcPr>
          <w:p>
            <w:pPr>
              <w:spacing w:after="80" w:before="0"/>
            </w:pPr>
            <w:r>
              <w:rPr>
                <w:rFonts w:ascii="Calibri" w:hAnsi="Calibri"/>
              </w:rPr>
            </w:r>
            <w:r>
              <w:rPr>
                <w:rFonts w:ascii="Calibri" w:hAnsi="Calibri"/>
              </w:rPr>
              <w:t>Certification requirements, shift limits</w:t>
            </w:r>
          </w:p>
        </w:tc>
        <w:tc>
          <w:tcPr>
            <w:tcW w:type="dxa" w:w="2160"/>
            <w:vAlign w:val="top"/>
          </w:tcPr>
          <w:p>
            <w:pPr>
              <w:spacing w:after="80" w:before="0"/>
            </w:pPr>
            <w:r>
              <w:rPr>
                <w:rFonts w:ascii="Calibri" w:hAnsi="Calibri"/>
              </w:rPr>
            </w:r>
            <w:r>
              <w:rPr>
                <w:rFonts w:ascii="Calibri" w:hAnsi="Calibri"/>
              </w:rPr>
              <w:t>Critical</w:t>
            </w:r>
          </w:p>
        </w:tc>
      </w:tr>
      <w:tr>
        <w:tc>
          <w:tcPr>
            <w:tcW w:type="dxa" w:w="2160"/>
            <w:vAlign w:val="top"/>
          </w:tcPr>
          <w:p>
            <w:pPr>
              <w:spacing w:after="80" w:before="0"/>
            </w:pPr>
            <w:r>
              <w:rPr>
                <w:rFonts w:ascii="Calibri" w:hAnsi="Calibri"/>
              </w:rPr>
            </w:r>
            <w:r>
              <w:rPr>
                <w:rFonts w:ascii="Calibri" w:hAnsi="Calibri"/>
                <w:b/>
              </w:rPr>
              <w:t>Equipment</w:t>
            </w:r>
          </w:p>
        </w:tc>
        <w:tc>
          <w:tcPr>
            <w:tcW w:type="dxa" w:w="2160"/>
            <w:vAlign w:val="top"/>
          </w:tcPr>
          <w:p>
            <w:pPr>
              <w:spacing w:after="80" w:before="0"/>
            </w:pPr>
            <w:r>
              <w:rPr>
                <w:rFonts w:ascii="Calibri" w:hAnsi="Calibri"/>
              </w:rPr>
            </w:r>
            <w:r>
              <w:rPr>
                <w:rFonts w:ascii="Calibri" w:hAnsi="Calibri"/>
              </w:rPr>
              <w:t>Detectors, hot cells, glove boxes</w:t>
            </w:r>
          </w:p>
        </w:tc>
        <w:tc>
          <w:tcPr>
            <w:tcW w:type="dxa" w:w="2160"/>
            <w:vAlign w:val="top"/>
          </w:tcPr>
          <w:p>
            <w:pPr>
              <w:spacing w:after="80" w:before="0"/>
            </w:pPr>
            <w:r>
              <w:rPr>
                <w:rFonts w:ascii="Calibri" w:hAnsi="Calibri"/>
              </w:rPr>
            </w:r>
            <w:r>
              <w:rPr>
                <w:rFonts w:ascii="Calibri" w:hAnsi="Calibri"/>
              </w:rPr>
              <w:t>Calibration status, availability</w:t>
            </w:r>
          </w:p>
        </w:tc>
        <w:tc>
          <w:tcPr>
            <w:tcW w:type="dxa" w:w="2160"/>
            <w:vAlign w:val="top"/>
          </w:tcPr>
          <w:p>
            <w:pPr>
              <w:spacing w:after="80" w:before="0"/>
            </w:pPr>
            <w:r>
              <w:rPr>
                <w:rFonts w:ascii="Calibri" w:hAnsi="Calibri"/>
              </w:rPr>
            </w:r>
            <w:r>
              <w:rPr>
                <w:rFonts w:ascii="Calibri" w:hAnsi="Calibri"/>
              </w:rPr>
              <w:t>Medium</w:t>
            </w:r>
          </w:p>
        </w:tc>
      </w:tr>
      <w:tr>
        <w:tc>
          <w:tcPr>
            <w:tcW w:type="dxa" w:w="2160"/>
            <w:vAlign w:val="top"/>
          </w:tcPr>
          <w:p>
            <w:pPr>
              <w:spacing w:after="80" w:before="0"/>
            </w:pPr>
            <w:r>
              <w:rPr>
                <w:rFonts w:ascii="Calibri" w:hAnsi="Calibri"/>
              </w:rPr>
            </w:r>
            <w:r>
              <w:rPr>
                <w:rFonts w:ascii="Calibri" w:hAnsi="Calibri"/>
                <w:b/>
              </w:rPr>
              <w:t>Spaces</w:t>
            </w:r>
          </w:p>
        </w:tc>
        <w:tc>
          <w:tcPr>
            <w:tcW w:type="dxa" w:w="2160"/>
            <w:vAlign w:val="top"/>
          </w:tcPr>
          <w:p>
            <w:pPr>
              <w:spacing w:after="80" w:before="0"/>
            </w:pPr>
            <w:r>
              <w:rPr>
                <w:rFonts w:ascii="Calibri" w:hAnsi="Calibri"/>
              </w:rPr>
            </w:r>
            <w:r>
              <w:rPr>
                <w:rFonts w:ascii="Calibri" w:hAnsi="Calibri"/>
              </w:rPr>
              <w:t>Labs, conference rooms, training areas</w:t>
            </w:r>
          </w:p>
        </w:tc>
        <w:tc>
          <w:tcPr>
            <w:tcW w:type="dxa" w:w="2160"/>
            <w:vAlign w:val="top"/>
          </w:tcPr>
          <w:p>
            <w:pPr>
              <w:spacing w:after="80" w:before="0"/>
            </w:pPr>
            <w:r>
              <w:rPr>
                <w:rFonts w:ascii="Calibri" w:hAnsi="Calibri"/>
              </w:rPr>
            </w:r>
            <w:r>
              <w:rPr>
                <w:rFonts w:ascii="Calibri" w:hAnsi="Calibri"/>
              </w:rPr>
              <w:t>Capacity limits, safety requirements</w:t>
            </w:r>
          </w:p>
        </w:tc>
        <w:tc>
          <w:tcPr>
            <w:tcW w:type="dxa" w:w="2160"/>
            <w:vAlign w:val="top"/>
          </w:tcPr>
          <w:p>
            <w:pPr>
              <w:spacing w:after="80" w:before="0"/>
            </w:pPr>
            <w:r>
              <w:rPr>
                <w:rFonts w:ascii="Calibri" w:hAnsi="Calibri"/>
              </w:rPr>
            </w:r>
            <w:r>
              <w:rPr>
                <w:rFonts w:ascii="Calibri" w:hAnsi="Calibri"/>
              </w:rPr>
              <w:t>Low</w:t>
            </w:r>
          </w:p>
        </w:tc>
      </w:tr>
    </w:tbl>
    <w:p/>
    <w:p>
      <w:pPr>
        <w:pStyle w:val="Heading3"/>
        <w:spacing w:after="40" w:before="240"/>
      </w:pPr>
      <w:bookmarkStart w:id="6" w:name="Scheduling_Rules_Engine"/>
      <w:r>
        <w:t>Scheduling Rules Engine</w:t>
      </w:r>
      <w:bookmarkEnd w:id="6"/>
    </w:p>
    <w:p>
      <w:pPr>
        <w:spacing w:after="240" w:before="0"/>
        <w:jc w:val="center"/>
      </w:pPr>
      <w:r>
        <w:drawing>
          <wp:inline xmlns:a="http://schemas.openxmlformats.org/drawingml/2006/main" xmlns:pic="http://schemas.openxmlformats.org/drawingml/2006/picture">
            <wp:extent cx="4601496" cy="59436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601496" cy="5943600"/>
                    </a:xfrm>
                    <a:prstGeom prst="rect"/>
                  </pic:spPr>
                </pic:pic>
              </a:graphicData>
            </a:graphic>
          </wp:inline>
        </w:drawing>
      </w:r>
    </w:p>
    <w:p>
      <w:pPr>
        <w:pStyle w:val="Heading2"/>
        <w:spacing w:after="80" w:before="240"/>
      </w:pPr>
      <w:bookmarkStart w:id="7" w:name="Integration_Points"/>
      <w:r>
        <w:t>Integration Points</w:t>
      </w:r>
      <w:bookmarkEnd w:id="7"/>
    </w:p>
    <w:p>
      <w:pPr>
        <w:pStyle w:val="Heading3"/>
        <w:spacing w:after="80" w:before="240"/>
      </w:pPr>
      <w:bookmarkStart w:id="8" w:name="Module_Interfaces"/>
      <w:r>
        <w:t>Module Interfaces</w:t>
      </w:r>
      <w:bookmarkEnd w:id="8"/>
    </w:p>
    <w:p>
      <w:pPr>
        <w:spacing w:after="120" w:before="0"/>
      </w:pPr>
      <w:r>
        <w:t>Each module interacts with the Scheduling System through defined interfaces:</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Module</w:t>
            </w:r>
          </w:p>
        </w:tc>
        <w:tc>
          <w:tcPr>
            <w:tcW w:type="dxa" w:w="2880"/>
            <w:vAlign w:val="top"/>
          </w:tcPr>
          <w:p>
            <w:pPr>
              <w:spacing w:after="120" w:before="0"/>
            </w:pPr>
            <w:r>
              <w:rPr>
                <w:rFonts w:ascii="Calibri" w:hAnsi="Calibri"/>
                <w:b/>
                <w:sz w:val="22"/>
              </w:rPr>
            </w:r>
            <w:r>
              <w:rPr>
                <w:rFonts w:ascii="Calibri" w:hAnsi="Calibri"/>
                <w:b/>
                <w:sz w:val="22"/>
              </w:rPr>
              <w:t>Provides to Scheduler</w:t>
            </w:r>
          </w:p>
        </w:tc>
        <w:tc>
          <w:tcPr>
            <w:tcW w:type="dxa" w:w="2880"/>
            <w:vAlign w:val="top"/>
          </w:tcPr>
          <w:p>
            <w:pPr>
              <w:spacing w:after="120" w:before="0"/>
            </w:pPr>
            <w:r>
              <w:rPr>
                <w:rFonts w:ascii="Calibri" w:hAnsi="Calibri"/>
                <w:b/>
                <w:sz w:val="22"/>
              </w:rPr>
            </w:r>
            <w:r>
              <w:rPr>
                <w:rFonts w:ascii="Calibri" w:hAnsi="Calibri"/>
                <w:b/>
                <w:sz w:val="22"/>
              </w:rPr>
              <w:t>Receives from Scheduler</w:t>
            </w:r>
          </w:p>
        </w:tc>
      </w:tr>
      <w:tr>
        <w:tc>
          <w:tcPr>
            <w:tcW w:type="dxa" w:w="2880"/>
            <w:vAlign w:val="top"/>
          </w:tcPr>
          <w:p>
            <w:pPr>
              <w:spacing w:after="80" w:before="0"/>
            </w:pPr>
            <w:r>
              <w:rPr>
                <w:rFonts w:ascii="Calibri" w:hAnsi="Calibri"/>
              </w:rPr>
            </w:r>
            <w:r>
              <w:rPr>
                <w:rFonts w:ascii="Calibri" w:hAnsi="Calibri"/>
                <w:b/>
              </w:rPr>
              <w:t>Experiment Manager</w:t>
            </w:r>
          </w:p>
        </w:tc>
        <w:tc>
          <w:tcPr>
            <w:tcW w:type="dxa" w:w="2880"/>
            <w:vAlign w:val="top"/>
          </w:tcPr>
          <w:p>
            <w:pPr>
              <w:spacing w:after="80" w:before="0"/>
            </w:pPr>
            <w:r>
              <w:rPr>
                <w:rFonts w:ascii="Calibri" w:hAnsi="Calibri"/>
              </w:rPr>
            </w:r>
            <w:r>
              <w:rPr>
                <w:rFonts w:ascii="Calibri" w:hAnsi="Calibri"/>
              </w:rPr>
              <w:t>Sample metadata, duration estimates, facility needs</w:t>
            </w:r>
          </w:p>
        </w:tc>
        <w:tc>
          <w:tcPr>
            <w:tcW w:type="dxa" w:w="2880"/>
            <w:vAlign w:val="top"/>
          </w:tcPr>
          <w:p>
            <w:pPr>
              <w:spacing w:after="80" w:before="0"/>
            </w:pPr>
            <w:r>
              <w:rPr>
                <w:rFonts w:ascii="Calibri" w:hAnsi="Calibri"/>
              </w:rPr>
            </w:r>
            <w:r>
              <w:rPr>
                <w:rFonts w:ascii="Calibri" w:hAnsi="Calibri"/>
              </w:rPr>
              <w:t>Approved time slots, conflict notifications</w:t>
            </w:r>
          </w:p>
        </w:tc>
      </w:tr>
      <w:tr>
        <w:tc>
          <w:tcPr>
            <w:tcW w:type="dxa" w:w="2880"/>
            <w:vAlign w:val="top"/>
          </w:tcPr>
          <w:p>
            <w:pPr>
              <w:spacing w:after="80" w:before="0"/>
            </w:pPr>
            <w:r>
              <w:rPr>
                <w:rFonts w:ascii="Calibri" w:hAnsi="Calibri"/>
              </w:rPr>
            </w:r>
            <w:r>
              <w:rPr>
                <w:rFonts w:ascii="Calibri" w:hAnsi="Calibri"/>
                <w:b/>
              </w:rPr>
              <w:t>Reactor Ops Log</w:t>
            </w:r>
          </w:p>
        </w:tc>
        <w:tc>
          <w:tcPr>
            <w:tcW w:type="dxa" w:w="2880"/>
            <w:vAlign w:val="top"/>
          </w:tcPr>
          <w:p>
            <w:pPr>
              <w:spacing w:after="80" w:before="0"/>
            </w:pPr>
            <w:r>
              <w:rPr>
                <w:rFonts w:ascii="Calibri" w:hAnsi="Calibri"/>
              </w:rPr>
            </w:r>
            <w:r>
              <w:rPr>
                <w:rFonts w:ascii="Calibri" w:hAnsi="Calibri"/>
              </w:rPr>
              <w:t>Maintenance windows, shift schedules</w:t>
            </w:r>
          </w:p>
        </w:tc>
        <w:tc>
          <w:tcPr>
            <w:tcW w:type="dxa" w:w="2880"/>
            <w:vAlign w:val="top"/>
          </w:tcPr>
          <w:p>
            <w:pPr>
              <w:spacing w:after="80" w:before="0"/>
            </w:pPr>
            <w:r>
              <w:rPr>
                <w:rFonts w:ascii="Calibri" w:hAnsi="Calibri"/>
              </w:rPr>
            </w:r>
            <w:r>
              <w:rPr>
                <w:rFonts w:ascii="Calibri" w:hAnsi="Calibri"/>
              </w:rPr>
              <w:t>Upcoming events, staff assignments</w:t>
            </w:r>
          </w:p>
        </w:tc>
      </w:tr>
      <w:tr>
        <w:tc>
          <w:tcPr>
            <w:tcW w:type="dxa" w:w="2880"/>
            <w:vAlign w:val="top"/>
          </w:tcPr>
          <w:p>
            <w:pPr>
              <w:spacing w:after="80" w:before="0"/>
            </w:pPr>
            <w:r>
              <w:rPr>
                <w:rFonts w:ascii="Calibri" w:hAnsi="Calibri"/>
              </w:rPr>
            </w:r>
            <w:r>
              <w:rPr>
                <w:rFonts w:ascii="Calibri" w:hAnsi="Calibri"/>
                <w:b/>
              </w:rPr>
              <w:t>Medical Isotope</w:t>
            </w:r>
          </w:p>
        </w:tc>
        <w:tc>
          <w:tcPr>
            <w:tcW w:type="dxa" w:w="2880"/>
            <w:vAlign w:val="top"/>
          </w:tcPr>
          <w:p>
            <w:pPr>
              <w:spacing w:after="80" w:before="0"/>
            </w:pPr>
            <w:r>
              <w:rPr>
                <w:rFonts w:ascii="Calibri" w:hAnsi="Calibri"/>
              </w:rPr>
            </w:r>
            <w:r>
              <w:rPr>
                <w:rFonts w:ascii="Calibri" w:hAnsi="Calibri"/>
              </w:rPr>
              <w:t>Production requirements, shipping deadlines</w:t>
            </w:r>
          </w:p>
        </w:tc>
        <w:tc>
          <w:tcPr>
            <w:tcW w:type="dxa" w:w="2880"/>
            <w:vAlign w:val="top"/>
          </w:tcPr>
          <w:p>
            <w:pPr>
              <w:spacing w:after="80" w:before="0"/>
            </w:pPr>
            <w:r>
              <w:rPr>
                <w:rFonts w:ascii="Calibri" w:hAnsi="Calibri"/>
              </w:rPr>
            </w:r>
            <w:r>
              <w:rPr>
                <w:rFonts w:ascii="Calibri" w:hAnsi="Calibri"/>
              </w:rPr>
              <w:t>Batch scheduling, resource allocation</w:t>
            </w:r>
          </w:p>
        </w:tc>
      </w:tr>
      <w:tr>
        <w:tc>
          <w:tcPr>
            <w:tcW w:type="dxa" w:w="2880"/>
            <w:vAlign w:val="top"/>
          </w:tcPr>
          <w:p>
            <w:pPr>
              <w:spacing w:after="80" w:before="0"/>
            </w:pPr>
            <w:r>
              <w:rPr>
                <w:rFonts w:ascii="Calibri" w:hAnsi="Calibri"/>
              </w:rPr>
            </w:r>
            <w:r>
              <w:rPr>
                <w:rFonts w:ascii="Calibri" w:hAnsi="Calibri"/>
                <w:b/>
              </w:rPr>
              <w:t>Training</w:t>
            </w:r>
          </w:p>
        </w:tc>
        <w:tc>
          <w:tcPr>
            <w:tcW w:type="dxa" w:w="2880"/>
            <w:vAlign w:val="top"/>
          </w:tcPr>
          <w:p>
            <w:pPr>
              <w:spacing w:after="80" w:before="0"/>
            </w:pPr>
            <w:r>
              <w:rPr>
                <w:rFonts w:ascii="Calibri" w:hAnsi="Calibri"/>
              </w:rPr>
            </w:r>
            <w:r>
              <w:rPr>
                <w:rFonts w:ascii="Calibri" w:hAnsi="Calibri"/>
              </w:rPr>
              <w:t>Requalification needs, course schedules</w:t>
            </w:r>
          </w:p>
        </w:tc>
        <w:tc>
          <w:tcPr>
            <w:tcW w:type="dxa" w:w="2880"/>
            <w:vAlign w:val="top"/>
          </w:tcPr>
          <w:p>
            <w:pPr>
              <w:spacing w:after="80" w:before="0"/>
            </w:pPr>
            <w:r>
              <w:rPr>
                <w:rFonts w:ascii="Calibri" w:hAnsi="Calibri"/>
              </w:rPr>
            </w:r>
            <w:r>
              <w:rPr>
                <w:rFonts w:ascii="Calibri" w:hAnsi="Calibri"/>
              </w:rPr>
              <w:t>Available slots, compliance tracking</w:t>
            </w:r>
          </w:p>
        </w:tc>
      </w:tr>
      <w:tr>
        <w:tc>
          <w:tcPr>
            <w:tcW w:type="dxa" w:w="2880"/>
            <w:vAlign w:val="top"/>
          </w:tcPr>
          <w:p>
            <w:pPr>
              <w:spacing w:after="80" w:before="0"/>
            </w:pPr>
            <w:r>
              <w:rPr>
                <w:rFonts w:ascii="Calibri" w:hAnsi="Calibri"/>
              </w:rPr>
            </w:r>
            <w:r>
              <w:rPr>
                <w:rFonts w:ascii="Calibri" w:hAnsi="Calibri"/>
                <w:b/>
              </w:rPr>
              <w:t>Personnel</w:t>
            </w:r>
          </w:p>
        </w:tc>
        <w:tc>
          <w:tcPr>
            <w:tcW w:type="dxa" w:w="2880"/>
            <w:vAlign w:val="top"/>
          </w:tcPr>
          <w:p>
            <w:pPr>
              <w:spacing w:after="80" w:before="0"/>
            </w:pPr>
            <w:r>
              <w:rPr>
                <w:rFonts w:ascii="Calibri" w:hAnsi="Calibri"/>
              </w:rPr>
            </w:r>
            <w:r>
              <w:rPr>
                <w:rFonts w:ascii="Calibri" w:hAnsi="Calibri"/>
              </w:rPr>
              <w:t>Staff availability, certification status</w:t>
            </w:r>
          </w:p>
        </w:tc>
        <w:tc>
          <w:tcPr>
            <w:tcW w:type="dxa" w:w="2880"/>
            <w:vAlign w:val="top"/>
          </w:tcPr>
          <w:p>
            <w:pPr>
              <w:spacing w:after="80" w:before="0"/>
            </w:pPr>
            <w:r>
              <w:rPr>
                <w:rFonts w:ascii="Calibri" w:hAnsi="Calibri"/>
              </w:rPr>
            </w:r>
            <w:r>
              <w:rPr>
                <w:rFonts w:ascii="Calibri" w:hAnsi="Calibri"/>
              </w:rPr>
              <w:t>Shift assignments, coverage gaps</w:t>
            </w:r>
          </w:p>
        </w:tc>
      </w:tr>
    </w:tbl>
    <w:p/>
    <w:p>
      <w:pPr>
        <w:pStyle w:val="Heading3"/>
        <w:spacing w:after="40" w:before="240"/>
      </w:pPr>
      <w:bookmarkStart w:id="9" w:name="External_Integrations"/>
      <w:r>
        <w:t>External Integrations</w:t>
      </w:r>
      <w:bookmarkEnd w:id="9"/>
    </w:p>
    <w:p>
      <w:pPr>
        <w:spacing w:after="240" w:before="0"/>
        <w:jc w:val="center"/>
      </w:pPr>
      <w:r>
        <w:drawing>
          <wp:inline xmlns:a="http://schemas.openxmlformats.org/drawingml/2006/main" xmlns:pic="http://schemas.openxmlformats.org/drawingml/2006/picture">
            <wp:extent cx="5943600" cy="5156073"/>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943600" cy="5156073"/>
                    </a:xfrm>
                    <a:prstGeom prst="rect"/>
                  </pic:spPr>
                </pic:pic>
              </a:graphicData>
            </a:graphic>
          </wp:inline>
        </w:drawing>
      </w:r>
    </w:p>
    <w:p>
      <w:pPr>
        <w:pStyle w:val="Heading2"/>
        <w:spacing w:after="80" w:before="240"/>
      </w:pPr>
      <w:bookmarkStart w:id="10" w:name="User_Stories"/>
      <w:r>
        <w:t>User Stories</w:t>
      </w:r>
      <w:bookmarkEnd w:id="10"/>
    </w:p>
    <w:p>
      <w:pPr>
        <w:pStyle w:val="Heading3"/>
        <w:spacing w:after="80" w:before="240"/>
      </w:pPr>
      <w:bookmarkStart w:id="11" w:name="Schedule_Requesters"/>
      <w:r>
        <w:t>Schedule Requesters</w:t>
      </w:r>
      <w:bookmarkEnd w:id="11"/>
    </w:p>
    <w:p>
      <w:pPr>
        <w:pStyle w:val="ListNumber"/>
        <w:spacing w:after="40" w:before="0"/>
      </w:pPr>
      <w:r>
        <w:rPr>
          <w:b/>
        </w:rPr>
        <w:t>As a researcher</w:t>
      </w:r>
      <w:r>
        <w:t>, I want to see all available reactor time slots for next week so I can plan my experiment.</w:t>
      </w:r>
    </w:p>
    <w:p>
      <w:pPr>
        <w:pStyle w:val="ListNumber"/>
        <w:spacing w:after="40" w:before="0"/>
      </w:pPr>
      <w:r>
        <w:rPr>
          <w:b/>
        </w:rPr>
        <w:t>As a maintenance engineer</w:t>
      </w:r>
      <w:r>
        <w:t>, I want to block out 4 hours for pump replacement with automatic notifications to affected users.</w:t>
      </w:r>
    </w:p>
    <w:p>
      <w:pPr>
        <w:pStyle w:val="ListNumber"/>
        <w:spacing w:after="40" w:before="0"/>
      </w:pPr>
      <w:r>
        <w:rPr>
          <w:b/>
        </w:rPr>
        <w:t>As a training coordinator</w:t>
      </w:r>
      <w:r>
        <w:t>, I want to ensure each operator gets their 4 hours/quarter requalification scheduled before deadlines.</w:t>
      </w:r>
    </w:p>
    <w:p>
      <w:pPr>
        <w:pStyle w:val="ListNumber"/>
        <w:spacing w:after="40" w:before="0"/>
      </w:pPr>
      <w:r>
        <w:rPr>
          <w:b/>
        </w:rPr>
        <w:t>As a medical isotope customer</w:t>
      </w:r>
      <w:r>
        <w:t>, I want to see available production slots that meet my delivery requirements.</w:t>
      </w:r>
    </w:p>
    <w:p>
      <w:pPr>
        <w:pStyle w:val="Heading3"/>
        <w:spacing w:after="80" w:before="240"/>
      </w:pPr>
      <w:bookmarkStart w:id="12" w:name="Schedule_Managers"/>
      <w:r>
        <w:t>Schedule Managers</w:t>
      </w:r>
      <w:bookmarkEnd w:id="12"/>
    </w:p>
    <w:p>
      <w:pPr>
        <w:pStyle w:val="ListNumber"/>
        <w:spacing w:after="40" w:before="0"/>
      </w:pPr>
      <w:r>
        <w:rPr>
          <w:b/>
        </w:rPr>
        <w:t>As a reactor manager</w:t>
      </w:r>
      <w:r>
        <w:t>, I want to review all pending schedule requests in one place with conflict indicators.</w:t>
      </w:r>
    </w:p>
    <w:p>
      <w:pPr>
        <w:pStyle w:val="ListNumber"/>
        <w:spacing w:after="40" w:before="0"/>
      </w:pPr>
      <w:r>
        <w:rPr>
          <w:b/>
        </w:rPr>
        <w:t>As a reactor manager</w:t>
      </w:r>
      <w:r>
        <w:t>, I want to set recurring maintenance windows (e.g., "Every Tuesday 6-8 AM") that automatically block scheduling.</w:t>
      </w:r>
    </w:p>
    <w:p>
      <w:pPr>
        <w:pStyle w:val="ListNumber"/>
        <w:spacing w:after="40" w:before="0"/>
      </w:pPr>
      <w:r>
        <w:rPr>
          <w:b/>
        </w:rPr>
        <w:t>As a shift supervisor</w:t>
      </w:r>
      <w:r>
        <w:t>, I want to see staffing levels for next week to identify coverage gaps.</w:t>
      </w:r>
    </w:p>
    <w:p>
      <w:pPr>
        <w:pStyle w:val="ListNumber"/>
        <w:spacing w:after="40" w:before="0"/>
      </w:pPr>
      <w:r>
        <w:rPr>
          <w:b/>
        </w:rPr>
        <w:t>As a facility director</w:t>
      </w:r>
      <w:r>
        <w:t>, I want monthly utilization reports showing scheduled vs. actual usage by category.</w:t>
      </w:r>
    </w:p>
    <w:p>
      <w:pPr>
        <w:pStyle w:val="Heading3"/>
        <w:spacing w:after="80" w:before="240"/>
      </w:pPr>
      <w:bookmarkStart w:id="13" w:name="Schedule_Consumers"/>
      <w:r>
        <w:t>Schedule Consumers</w:t>
      </w:r>
      <w:bookmarkEnd w:id="13"/>
    </w:p>
    <w:p>
      <w:pPr>
        <w:pStyle w:val="ListNumber"/>
        <w:spacing w:after="40" w:before="0"/>
      </w:pPr>
      <w:r>
        <w:rPr>
          <w:b/>
        </w:rPr>
        <w:t>As a reactor operator</w:t>
      </w:r>
      <w:r>
        <w:t>, I want to see the next 4 hours of scheduled activities on my console display.</w:t>
      </w:r>
    </w:p>
    <w:p>
      <w:pPr>
        <w:pStyle w:val="ListNumber"/>
        <w:spacing w:after="40" w:before="0"/>
      </w:pPr>
      <w:r>
        <w:rPr>
          <w:b/>
        </w:rPr>
        <w:t>As any staff member</w:t>
      </w:r>
      <w:r>
        <w:t>, I want to see today's facility schedule on the entrance display when I arrive.</w:t>
      </w:r>
    </w:p>
    <w:p>
      <w:pPr>
        <w:pStyle w:val="ListNumber"/>
        <w:spacing w:after="40" w:before="0"/>
      </w:pPr>
      <w:r>
        <w:rPr>
          <w:b/>
        </w:rPr>
        <w:t>As a researcher</w:t>
      </w:r>
      <w:r>
        <w:t>, I want automatic email/SMS reminders 24 hours before my scheduled reactor time.</w:t>
      </w:r>
    </w:p>
    <w:p>
      <w:pPr>
        <w:pStyle w:val="ListNumber"/>
        <w:spacing w:after="40" w:before="0"/>
      </w:pPr>
      <w:r>
        <w:rPr>
          <w:b/>
        </w:rPr>
        <w:t>As a compliance officer</w:t>
      </w:r>
      <w:r>
        <w:t>, I want to verify that all required training was completed within regulatory timeframes.</w:t>
      </w:r>
    </w:p>
    <w:p>
      <w:pPr>
        <w:pStyle w:val="Heading2"/>
        <w:spacing w:after="80" w:before="240"/>
      </w:pPr>
      <w:bookmarkStart w:id="14" w:name="Display_Requirements"/>
      <w:r>
        <w:t>Display Requirements</w:t>
      </w:r>
      <w:bookmarkEnd w:id="14"/>
    </w:p>
    <w:p>
      <w:pPr>
        <w:pStyle w:val="Heading3"/>
        <w:spacing w:after="40" w:before="240"/>
      </w:pPr>
      <w:bookmarkStart w:id="15" w:name="Facility_Entrance_Display"/>
      <w:r>
        <w:t>Facility Entrance Display</w:t>
      </w:r>
      <w:bookmarkEnd w:id="15"/>
    </w:p>
    <w:p>
      <w:pPr>
        <w:spacing w:after="240" w:before="0"/>
        <w:jc w:val="center"/>
      </w:pPr>
      <w:r>
        <w:drawing>
          <wp:inline xmlns:a="http://schemas.openxmlformats.org/drawingml/2006/main" xmlns:pic="http://schemas.openxmlformats.org/drawingml/2006/picture">
            <wp:extent cx="5943600" cy="4643437"/>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943600" cy="4643437"/>
                    </a:xfrm>
                    <a:prstGeom prst="rect"/>
                  </pic:spPr>
                </pic:pic>
              </a:graphicData>
            </a:graphic>
          </wp:inline>
        </w:drawing>
      </w:r>
    </w:p>
    <w:p>
      <w:pPr>
        <w:pStyle w:val="Heading3"/>
        <w:spacing w:after="40" w:before="240"/>
      </w:pPr>
      <w:bookmarkStart w:id="16" w:name="Console_4-Hour_View"/>
      <w:r>
        <w:t>Console 4-Hour View</w:t>
      </w:r>
      <w:bookmarkEnd w:id="16"/>
    </w:p>
    <w:p>
      <w:pPr>
        <w:spacing w:after="240" w:before="0"/>
        <w:jc w:val="center"/>
      </w:pPr>
      <w:r>
        <w:drawing>
          <wp:inline xmlns:a="http://schemas.openxmlformats.org/drawingml/2006/main" xmlns:pic="http://schemas.openxmlformats.org/drawingml/2006/picture">
            <wp:extent cx="5943600" cy="1062418"/>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943600" cy="1062418"/>
                    </a:xfrm>
                    <a:prstGeom prst="rect"/>
                  </pic:spPr>
                </pic:pic>
              </a:graphicData>
            </a:graphic>
          </wp:inline>
        </w:drawing>
      </w:r>
    </w:p>
    <w:p>
      <w:pPr>
        <w:pStyle w:val="Heading2"/>
        <w:spacing w:after="80" w:before="240"/>
      </w:pPr>
      <w:bookmarkStart w:id="17" w:name="Success_Metrics"/>
      <w:r>
        <w:t>Success Metrics</w:t>
      </w:r>
      <w:bookmarkEnd w:id="17"/>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Metric</w:t>
            </w:r>
          </w:p>
        </w:tc>
        <w:tc>
          <w:tcPr>
            <w:tcW w:type="dxa" w:w="2880"/>
            <w:vAlign w:val="top"/>
          </w:tcPr>
          <w:p>
            <w:pPr>
              <w:spacing w:after="120" w:before="0"/>
            </w:pPr>
            <w:r>
              <w:rPr>
                <w:rFonts w:ascii="Calibri" w:hAnsi="Calibri"/>
                <w:b/>
                <w:sz w:val="22"/>
              </w:rPr>
            </w:r>
            <w:r>
              <w:rPr>
                <w:rFonts w:ascii="Calibri" w:hAnsi="Calibri"/>
                <w:b/>
                <w:sz w:val="22"/>
              </w:rPr>
              <w:t>Target</w:t>
            </w:r>
          </w:p>
        </w:tc>
        <w:tc>
          <w:tcPr>
            <w:tcW w:type="dxa" w:w="2880"/>
            <w:vAlign w:val="top"/>
          </w:tcPr>
          <w:p>
            <w:pPr>
              <w:spacing w:after="120" w:before="0"/>
            </w:pPr>
            <w:r>
              <w:rPr>
                <w:rFonts w:ascii="Calibri" w:hAnsi="Calibri"/>
                <w:b/>
                <w:sz w:val="22"/>
              </w:rPr>
            </w:r>
            <w:r>
              <w:rPr>
                <w:rFonts w:ascii="Calibri" w:hAnsi="Calibri"/>
                <w:b/>
                <w:sz w:val="22"/>
              </w:rPr>
              <w:t>Measurement Method</w:t>
            </w:r>
          </w:p>
        </w:tc>
      </w:tr>
      <w:tr>
        <w:tc>
          <w:tcPr>
            <w:tcW w:type="dxa" w:w="2880"/>
            <w:vAlign w:val="top"/>
          </w:tcPr>
          <w:p>
            <w:pPr>
              <w:spacing w:after="80" w:before="0"/>
            </w:pPr>
            <w:r>
              <w:rPr>
                <w:rFonts w:ascii="Calibri" w:hAnsi="Calibri"/>
              </w:rPr>
            </w:r>
            <w:r>
              <w:rPr>
                <w:rFonts w:ascii="Calibri" w:hAnsi="Calibri"/>
                <w:b/>
              </w:rPr>
              <w:t>Schedule Accuracy</w:t>
            </w:r>
          </w:p>
        </w:tc>
        <w:tc>
          <w:tcPr>
            <w:tcW w:type="dxa" w:w="2880"/>
            <w:vAlign w:val="top"/>
          </w:tcPr>
          <w:p>
            <w:pPr>
              <w:spacing w:after="80" w:before="0"/>
            </w:pPr>
            <w:r>
              <w:rPr>
                <w:rFonts w:ascii="Calibri" w:hAnsi="Calibri"/>
              </w:rPr>
            </w:r>
            <w:r>
              <w:rPr>
                <w:rFonts w:ascii="Calibri" w:hAnsi="Calibri"/>
              </w:rPr>
              <w:t>90% of scheduled activities start within 15 min</w:t>
            </w:r>
          </w:p>
        </w:tc>
        <w:tc>
          <w:tcPr>
            <w:tcW w:type="dxa" w:w="2880"/>
            <w:vAlign w:val="top"/>
          </w:tcPr>
          <w:p>
            <w:pPr>
              <w:spacing w:after="80" w:before="0"/>
            </w:pPr>
            <w:r>
              <w:rPr>
                <w:rFonts w:ascii="Calibri" w:hAnsi="Calibri"/>
              </w:rPr>
            </w:r>
            <w:r>
              <w:rPr>
                <w:rFonts w:ascii="Calibri" w:hAnsi="Calibri"/>
              </w:rPr>
              <w:t>Compare scheduled vs. actual from ops log</w:t>
            </w:r>
          </w:p>
        </w:tc>
      </w:tr>
      <w:tr>
        <w:tc>
          <w:tcPr>
            <w:tcW w:type="dxa" w:w="2880"/>
            <w:vAlign w:val="top"/>
          </w:tcPr>
          <w:p>
            <w:pPr>
              <w:spacing w:after="80" w:before="0"/>
            </w:pPr>
            <w:r>
              <w:rPr>
                <w:rFonts w:ascii="Calibri" w:hAnsi="Calibri"/>
              </w:rPr>
            </w:r>
            <w:r>
              <w:rPr>
                <w:rFonts w:ascii="Calibri" w:hAnsi="Calibri"/>
                <w:b/>
              </w:rPr>
              <w:t>Conflict Rate</w:t>
            </w:r>
          </w:p>
        </w:tc>
        <w:tc>
          <w:tcPr>
            <w:tcW w:type="dxa" w:w="2880"/>
            <w:vAlign w:val="top"/>
          </w:tcPr>
          <w:p>
            <w:pPr>
              <w:spacing w:after="80" w:before="0"/>
            </w:pPr>
            <w:r>
              <w:rPr>
                <w:rFonts w:ascii="Calibri" w:hAnsi="Calibri"/>
              </w:rPr>
            </w:r>
            <w:r>
              <w:rPr>
                <w:rFonts w:ascii="Calibri" w:hAnsi="Calibri"/>
              </w:rPr>
              <w:t>&lt;5% of requests have conflicts</w:t>
            </w:r>
          </w:p>
        </w:tc>
        <w:tc>
          <w:tcPr>
            <w:tcW w:type="dxa" w:w="2880"/>
            <w:vAlign w:val="top"/>
          </w:tcPr>
          <w:p>
            <w:pPr>
              <w:spacing w:after="80" w:before="0"/>
            </w:pPr>
            <w:r>
              <w:rPr>
                <w:rFonts w:ascii="Calibri" w:hAnsi="Calibri"/>
              </w:rPr>
            </w:r>
            <w:r>
              <w:rPr>
                <w:rFonts w:ascii="Calibri" w:hAnsi="Calibri"/>
              </w:rPr>
              <w:t>Track rejection reasons</w:t>
            </w:r>
          </w:p>
        </w:tc>
      </w:tr>
      <w:tr>
        <w:tc>
          <w:tcPr>
            <w:tcW w:type="dxa" w:w="2880"/>
            <w:vAlign w:val="top"/>
          </w:tcPr>
          <w:p>
            <w:pPr>
              <w:spacing w:after="80" w:before="0"/>
            </w:pPr>
            <w:r>
              <w:rPr>
                <w:rFonts w:ascii="Calibri" w:hAnsi="Calibri"/>
              </w:rPr>
            </w:r>
            <w:r>
              <w:rPr>
                <w:rFonts w:ascii="Calibri" w:hAnsi="Calibri"/>
                <w:b/>
              </w:rPr>
              <w:t>Self-Service Adoption</w:t>
            </w:r>
          </w:p>
        </w:tc>
        <w:tc>
          <w:tcPr>
            <w:tcW w:type="dxa" w:w="2880"/>
            <w:vAlign w:val="top"/>
          </w:tcPr>
          <w:p>
            <w:pPr>
              <w:spacing w:after="80" w:before="0"/>
            </w:pPr>
            <w:r>
              <w:rPr>
                <w:rFonts w:ascii="Calibri" w:hAnsi="Calibri"/>
              </w:rPr>
            </w:r>
            <w:r>
              <w:rPr>
                <w:rFonts w:ascii="Calibri" w:hAnsi="Calibri"/>
              </w:rPr>
              <w:t>80% of requests via portal (not email/phone)</w:t>
            </w:r>
          </w:p>
        </w:tc>
        <w:tc>
          <w:tcPr>
            <w:tcW w:type="dxa" w:w="2880"/>
            <w:vAlign w:val="top"/>
          </w:tcPr>
          <w:p>
            <w:pPr>
              <w:spacing w:after="80" w:before="0"/>
            </w:pPr>
            <w:r>
              <w:rPr>
                <w:rFonts w:ascii="Calibri" w:hAnsi="Calibri"/>
              </w:rPr>
            </w:r>
            <w:r>
              <w:rPr>
                <w:rFonts w:ascii="Calibri" w:hAnsi="Calibri"/>
              </w:rPr>
              <w:t>Source tracking on requests</w:t>
            </w:r>
          </w:p>
        </w:tc>
      </w:tr>
      <w:tr>
        <w:tc>
          <w:tcPr>
            <w:tcW w:type="dxa" w:w="2880"/>
            <w:vAlign w:val="top"/>
          </w:tcPr>
          <w:p>
            <w:pPr>
              <w:spacing w:after="80" w:before="0"/>
            </w:pPr>
            <w:r>
              <w:rPr>
                <w:rFonts w:ascii="Calibri" w:hAnsi="Calibri"/>
              </w:rPr>
            </w:r>
            <w:r>
              <w:rPr>
                <w:rFonts w:ascii="Calibri" w:hAnsi="Calibri"/>
                <w:b/>
              </w:rPr>
              <w:t>Notification Delivery</w:t>
            </w:r>
          </w:p>
        </w:tc>
        <w:tc>
          <w:tcPr>
            <w:tcW w:type="dxa" w:w="2880"/>
            <w:vAlign w:val="top"/>
          </w:tcPr>
          <w:p>
            <w:pPr>
              <w:spacing w:after="80" w:before="0"/>
            </w:pPr>
            <w:r>
              <w:rPr>
                <w:rFonts w:ascii="Calibri" w:hAnsi="Calibri"/>
              </w:rPr>
            </w:r>
            <w:r>
              <w:rPr>
                <w:rFonts w:ascii="Calibri" w:hAnsi="Calibri"/>
              </w:rPr>
              <w:t>100% of approved requests get confirmation within 5 min</w:t>
            </w:r>
          </w:p>
        </w:tc>
        <w:tc>
          <w:tcPr>
            <w:tcW w:type="dxa" w:w="2880"/>
            <w:vAlign w:val="top"/>
          </w:tcPr>
          <w:p>
            <w:pPr>
              <w:spacing w:after="80" w:before="0"/>
            </w:pPr>
            <w:r>
              <w:rPr>
                <w:rFonts w:ascii="Calibri" w:hAnsi="Calibri"/>
              </w:rPr>
            </w:r>
            <w:r>
              <w:rPr>
                <w:rFonts w:ascii="Calibri" w:hAnsi="Calibri"/>
              </w:rPr>
              <w:t>Notification system logs</w:t>
            </w:r>
          </w:p>
        </w:tc>
      </w:tr>
      <w:tr>
        <w:tc>
          <w:tcPr>
            <w:tcW w:type="dxa" w:w="2880"/>
            <w:vAlign w:val="top"/>
          </w:tcPr>
          <w:p>
            <w:pPr>
              <w:spacing w:after="80" w:before="0"/>
            </w:pPr>
            <w:r>
              <w:rPr>
                <w:rFonts w:ascii="Calibri" w:hAnsi="Calibri"/>
              </w:rPr>
            </w:r>
            <w:r>
              <w:rPr>
                <w:rFonts w:ascii="Calibri" w:hAnsi="Calibri"/>
                <w:b/>
              </w:rPr>
              <w:t>Utilization Visibility</w:t>
            </w:r>
          </w:p>
        </w:tc>
        <w:tc>
          <w:tcPr>
            <w:tcW w:type="dxa" w:w="2880"/>
            <w:vAlign w:val="top"/>
          </w:tcPr>
          <w:p>
            <w:pPr>
              <w:spacing w:after="80" w:before="0"/>
            </w:pPr>
            <w:r>
              <w:rPr>
                <w:rFonts w:ascii="Calibri" w:hAnsi="Calibri"/>
              </w:rPr>
            </w:r>
            <w:r>
              <w:rPr>
                <w:rFonts w:ascii="Calibri" w:hAnsi="Calibri"/>
              </w:rPr>
              <w:t>Real-time dashboard always within 1 hour of actual</w:t>
            </w:r>
          </w:p>
        </w:tc>
        <w:tc>
          <w:tcPr>
            <w:tcW w:type="dxa" w:w="2880"/>
            <w:vAlign w:val="top"/>
          </w:tcPr>
          <w:p>
            <w:pPr>
              <w:spacing w:after="80" w:before="0"/>
            </w:pPr>
            <w:r>
              <w:rPr>
                <w:rFonts w:ascii="Calibri" w:hAnsi="Calibri"/>
              </w:rPr>
            </w:r>
            <w:r>
              <w:rPr>
                <w:rFonts w:ascii="Calibri" w:hAnsi="Calibri"/>
              </w:rPr>
              <w:t>Compare schedule to ops log</w:t>
            </w:r>
          </w:p>
        </w:tc>
      </w:tr>
      <w:tr>
        <w:tc>
          <w:tcPr>
            <w:tcW w:type="dxa" w:w="2880"/>
            <w:vAlign w:val="top"/>
          </w:tcPr>
          <w:p>
            <w:pPr>
              <w:spacing w:after="80" w:before="0"/>
            </w:pPr>
            <w:r>
              <w:rPr>
                <w:rFonts w:ascii="Calibri" w:hAnsi="Calibri"/>
              </w:rPr>
            </w:r>
            <w:r>
              <w:rPr>
                <w:rFonts w:ascii="Calibri" w:hAnsi="Calibri"/>
                <w:b/>
              </w:rPr>
              <w:t>Compliance Coverage</w:t>
            </w:r>
          </w:p>
        </w:tc>
        <w:tc>
          <w:tcPr>
            <w:tcW w:type="dxa" w:w="2880"/>
            <w:vAlign w:val="top"/>
          </w:tcPr>
          <w:p>
            <w:pPr>
              <w:spacing w:after="80" w:before="0"/>
            </w:pPr>
            <w:r>
              <w:rPr>
                <w:rFonts w:ascii="Calibri" w:hAnsi="Calibri"/>
              </w:rPr>
            </w:r>
            <w:r>
              <w:rPr>
                <w:rFonts w:ascii="Calibri" w:hAnsi="Calibri"/>
              </w:rPr>
              <w:t>100% of required training scheduled before expiry</w:t>
            </w:r>
          </w:p>
        </w:tc>
        <w:tc>
          <w:tcPr>
            <w:tcW w:type="dxa" w:w="2880"/>
            <w:vAlign w:val="top"/>
          </w:tcPr>
          <w:p>
            <w:pPr>
              <w:spacing w:after="80" w:before="0"/>
            </w:pPr>
            <w:r>
              <w:rPr>
                <w:rFonts w:ascii="Calibri" w:hAnsi="Calibri"/>
              </w:rPr>
            </w:r>
            <w:r>
              <w:rPr>
                <w:rFonts w:ascii="Calibri" w:hAnsi="Calibri"/>
              </w:rPr>
              <w:t>Training deadline reports</w:t>
            </w:r>
          </w:p>
        </w:tc>
      </w:tr>
    </w:tbl>
    <w:p/>
    <w:p>
      <w:pPr>
        <w:pStyle w:val="Heading2"/>
        <w:spacing w:after="80" w:before="240"/>
      </w:pPr>
      <w:bookmarkStart w:id="18" w:name="Technical_Requirements"/>
      <w:r>
        <w:t>Technical Requirements</w:t>
      </w:r>
      <w:bookmarkEnd w:id="18"/>
    </w:p>
    <w:p>
      <w:pPr>
        <w:pStyle w:val="Heading3"/>
        <w:spacing w:after="80" w:before="240"/>
      </w:pPr>
      <w:bookmarkStart w:id="19" w:name="Performance"/>
      <w:r>
        <w:t>Performance</w:t>
      </w:r>
      <w:bookmarkEnd w:id="19"/>
    </w:p>
    <w:p>
      <w:pPr>
        <w:pStyle w:val="ListBullet"/>
        <w:spacing w:after="40" w:before="0"/>
      </w:pPr>
      <w:r>
        <w:t>Schedule queries return in &lt;200ms for week view</w:t>
      </w:r>
    </w:p>
    <w:p>
      <w:pPr>
        <w:pStyle w:val="ListBullet"/>
        <w:spacing w:after="40" w:before="0"/>
      </w:pPr>
      <w:r>
        <w:t>Support 1000+ schedule items per month</w:t>
      </w:r>
    </w:p>
    <w:p>
      <w:pPr>
        <w:pStyle w:val="ListBullet"/>
        <w:spacing w:after="40" w:before="0"/>
      </w:pPr>
      <w:r>
        <w:t>Handle 50+ concurrent schedule viewers</w:t>
      </w:r>
    </w:p>
    <w:p>
      <w:pPr>
        <w:pStyle w:val="ListBullet"/>
        <w:spacing w:after="40" w:before="0"/>
      </w:pPr>
      <w:r>
        <w:t>Real-time updates to all displays within 5 seconds</w:t>
      </w:r>
    </w:p>
    <w:p>
      <w:pPr>
        <w:pStyle w:val="Heading3"/>
        <w:spacing w:after="80" w:before="240"/>
      </w:pPr>
      <w:bookmarkStart w:id="20" w:name="Reliability"/>
      <w:r>
        <w:t>Reliability</w:t>
      </w:r>
      <w:bookmarkEnd w:id="20"/>
    </w:p>
    <w:p>
      <w:pPr>
        <w:pStyle w:val="ListBullet"/>
        <w:spacing w:after="40" w:before="0"/>
      </w:pPr>
      <w:r>
        <w:t>99.9% uptime for viewing schedules</w:t>
      </w:r>
    </w:p>
    <w:p>
      <w:pPr>
        <w:pStyle w:val="ListBullet"/>
        <w:spacing w:after="40" w:before="0"/>
      </w:pPr>
      <w:r>
        <w:t>Graceful degradation if external calendars unavailable</w:t>
      </w:r>
    </w:p>
    <w:p>
      <w:pPr>
        <w:pStyle w:val="ListBullet"/>
        <w:spacing w:after="40" w:before="0"/>
      </w:pPr>
      <w:r>
        <w:t>Offline mode for read-only schedule access</w:t>
      </w:r>
    </w:p>
    <w:p>
      <w:pPr>
        <w:pStyle w:val="ListBullet"/>
        <w:spacing w:after="40" w:before="0"/>
      </w:pPr>
      <w:r>
        <w:t>Audit trail of all schedule changes</w:t>
      </w:r>
    </w:p>
    <w:p>
      <w:pPr>
        <w:pStyle w:val="Heading3"/>
        <w:spacing w:after="80" w:before="240"/>
      </w:pPr>
      <w:bookmarkStart w:id="21" w:name="Security"/>
      <w:r>
        <w:t>Security</w:t>
      </w:r>
      <w:bookmarkEnd w:id="21"/>
    </w:p>
    <w:p>
      <w:pPr>
        <w:pStyle w:val="ListBullet"/>
        <w:spacing w:after="40" w:before="0"/>
      </w:pPr>
      <w:r>
        <w:t>Role-based access to approval functions</w:t>
      </w:r>
    </w:p>
    <w:p>
      <w:pPr>
        <w:pStyle w:val="ListBullet"/>
        <w:spacing w:after="40" w:before="0"/>
      </w:pPr>
      <w:r>
        <w:t>Immutable audit log of approvals</w:t>
      </w:r>
    </w:p>
    <w:p>
      <w:pPr>
        <w:pStyle w:val="ListBullet"/>
        <w:spacing w:after="40" w:before="0"/>
      </w:pPr>
      <w:r>
        <w:t>Encryption of external calendar credentials</w:t>
      </w:r>
    </w:p>
    <w:p>
      <w:pPr>
        <w:pStyle w:val="ListBullet"/>
        <w:spacing w:after="40" w:before="0"/>
      </w:pPr>
      <w:r>
        <w:t>Rate limiting on public schedule views</w:t>
      </w:r>
    </w:p>
    <w:p>
      <w:pPr>
        <w:pStyle w:val="Heading2"/>
        <w:spacing w:after="80" w:before="240"/>
      </w:pPr>
      <w:bookmarkStart w:id="22" w:name="Implementation_Phases"/>
      <w:r>
        <w:t>Implementation Phases</w:t>
      </w:r>
      <w:bookmarkEnd w:id="22"/>
    </w:p>
    <w:p>
      <w:pPr>
        <w:pStyle w:val="Heading3"/>
        <w:spacing w:after="80" w:before="240"/>
      </w:pPr>
      <w:bookmarkStart w:id="23" w:name="Phase_1__Core_Scheduling__Months_1-2_"/>
      <w:r>
        <w:t>Phase 1: Core Scheduling (Months 1-2)</w:t>
      </w:r>
      <w:bookmarkEnd w:id="23"/>
    </w:p>
    <w:p>
      <w:pPr>
        <w:pStyle w:val="ListBullet"/>
        <w:spacing w:after="40" w:before="0"/>
      </w:pPr>
      <w:r>
        <w:t>Basic time slot management</w:t>
      </w:r>
    </w:p>
    <w:p>
      <w:pPr>
        <w:pStyle w:val="ListBullet"/>
        <w:spacing w:after="40" w:before="0"/>
      </w:pPr>
      <w:r>
        <w:t>Conflict detection</w:t>
      </w:r>
    </w:p>
    <w:p>
      <w:pPr>
        <w:pStyle w:val="ListBullet"/>
        <w:spacing w:after="40" w:before="0"/>
      </w:pPr>
      <w:r>
        <w:t>Manual approval workflow</w:t>
      </w:r>
    </w:p>
    <w:p>
      <w:pPr>
        <w:pStyle w:val="ListBullet"/>
        <w:spacing w:after="40" w:before="0"/>
      </w:pPr>
      <w:r>
        <w:t>Console and facility displays</w:t>
      </w:r>
    </w:p>
    <w:p>
      <w:pPr>
        <w:pStyle w:val="Heading3"/>
        <w:spacing w:after="80" w:before="240"/>
      </w:pPr>
      <w:bookmarkStart w:id="24" w:name="Phase_2__Module_Integration__Months_2-3_"/>
      <w:r>
        <w:t>Phase 2: Module Integration (Months 2-3)</w:t>
      </w:r>
      <w:bookmarkEnd w:id="24"/>
    </w:p>
    <w:p>
      <w:pPr>
        <w:pStyle w:val="ListBullet"/>
        <w:spacing w:after="40" w:before="0"/>
      </w:pPr>
      <w:r>
        <w:t>Experiment Manager integration</w:t>
      </w:r>
    </w:p>
    <w:p>
      <w:pPr>
        <w:pStyle w:val="ListBullet"/>
        <w:spacing w:after="40" w:before="0"/>
      </w:pPr>
      <w:r>
        <w:t>Reactor Ops Log integration</w:t>
      </w:r>
    </w:p>
    <w:p>
      <w:pPr>
        <w:pStyle w:val="ListBullet"/>
        <w:spacing w:after="40" w:before="0"/>
      </w:pPr>
      <w:r>
        <w:t>Notification system</w:t>
      </w:r>
    </w:p>
    <w:p>
      <w:pPr>
        <w:pStyle w:val="ListBullet"/>
        <w:spacing w:after="40" w:before="0"/>
      </w:pPr>
      <w:r>
        <w:t>Basic reporting</w:t>
      </w:r>
    </w:p>
    <w:p>
      <w:pPr>
        <w:pStyle w:val="Heading3"/>
        <w:spacing w:after="80" w:before="240"/>
      </w:pPr>
      <w:bookmarkStart w:id="25" w:name="Phase_3__Advanced_Features__Months_3-4_"/>
      <w:r>
        <w:t>Phase 3: Advanced Features (Months 3-4)</w:t>
      </w:r>
      <w:bookmarkEnd w:id="25"/>
    </w:p>
    <w:p>
      <w:pPr>
        <w:pStyle w:val="ListBullet"/>
        <w:spacing w:after="40" w:before="0"/>
      </w:pPr>
      <w:r>
        <w:t>External calendar sync</w:t>
      </w:r>
    </w:p>
    <w:p>
      <w:pPr>
        <w:pStyle w:val="ListBullet"/>
        <w:spacing w:after="40" w:before="0"/>
      </w:pPr>
      <w:r>
        <w:t>Recurring schedules</w:t>
      </w:r>
    </w:p>
    <w:p>
      <w:pPr>
        <w:pStyle w:val="ListBullet"/>
        <w:spacing w:after="40" w:before="0"/>
      </w:pPr>
      <w:r>
        <w:t>Priority/optimization engine</w:t>
      </w:r>
    </w:p>
    <w:p>
      <w:pPr>
        <w:pStyle w:val="ListBullet"/>
        <w:spacing w:after="40" w:before="0"/>
      </w:pPr>
      <w:r>
        <w:t>Mobile access</w:t>
      </w:r>
    </w:p>
    <w:p>
      <w:pPr>
        <w:pStyle w:val="Heading3"/>
        <w:spacing w:after="80" w:before="240"/>
      </w:pPr>
      <w:bookmarkStart w:id="26" w:name="Phase_4__Intelligence__Months_4-6_"/>
      <w:r>
        <w:t>Phase 4: Intelligence (Months 4-6)</w:t>
      </w:r>
      <w:bookmarkEnd w:id="26"/>
    </w:p>
    <w:p>
      <w:pPr>
        <w:pStyle w:val="ListBullet"/>
        <w:spacing w:after="40" w:before="0"/>
      </w:pPr>
      <w:r>
        <w:t>Utilization analytics</w:t>
      </w:r>
    </w:p>
    <w:p>
      <w:pPr>
        <w:pStyle w:val="ListBullet"/>
        <w:spacing w:after="40" w:before="0"/>
      </w:pPr>
      <w:r>
        <w:t>Predictive scheduling</w:t>
      </w:r>
    </w:p>
    <w:p>
      <w:pPr>
        <w:pStyle w:val="ListBullet"/>
        <w:spacing w:after="40" w:before="0"/>
      </w:pPr>
      <w:r>
        <w:t>Resource optimization</w:t>
      </w:r>
    </w:p>
    <w:p>
      <w:pPr>
        <w:pStyle w:val="ListBullet"/>
        <w:spacing w:after="40" w:before="0"/>
      </w:pPr>
      <w:r>
        <w:t>Compliance forecasting</w:t>
      </w:r>
    </w:p>
    <w:p>
      <w:pPr>
        <w:spacing w:after="120" w:before="0"/>
      </w:pPr>
      <w:r>
        <w:rPr>
          <w:i/>
        </w:rPr>
        <w:t>This PRD defines the Scheduling System as a cross-cutting concern that serves all Neutron OS modules while maintaining separation of concerns.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Display" w:hAnsi="Aptos Display"/>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Display" w:hAnsi="Aptos Display"/>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experiment-manager-prd.md" TargetMode="External"/><Relationship Id="rId10" Type="http://schemas.openxmlformats.org/officeDocument/2006/relationships/hyperlink" Target="reactor-ops-log-prd.md" TargetMode="External"/><Relationship Id="rId11" Type="http://schemas.openxmlformats.org/officeDocument/2006/relationships/hyperlink" Target="medical-isotope-prd.md" TargetMode="External"/><Relationship Id="rId12" Type="http://schemas.openxmlformats.org/officeDocument/2006/relationships/hyperlink" Target="neutron-os-executive-prd.md" TargetMode="Externa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