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F4" w:rsidRDefault="00F377F4" w:rsidP="00F377F4">
      <w:pPr>
        <w:pStyle w:val="Title"/>
        <w:jc w:val="left"/>
      </w:pPr>
    </w:p>
    <w:p w:rsidR="00F377F4" w:rsidRDefault="00F377F4" w:rsidP="00F377F4"/>
    <w:p w:rsidR="00F377F4" w:rsidRPr="00B17523" w:rsidRDefault="00F377F4" w:rsidP="00F377F4"/>
    <w:p w:rsidR="00F377F4" w:rsidRDefault="00F377F4" w:rsidP="00F377F4"/>
    <w:p w:rsidR="00F377F4" w:rsidRPr="0021782A" w:rsidRDefault="00F377F4" w:rsidP="00F377F4"/>
    <w:p w:rsidR="00F377F4" w:rsidRPr="003B4D76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F377F4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Memory Management Test Document</w:t>
      </w:r>
    </w:p>
    <w:p w:rsidR="00F377F4" w:rsidRPr="003B4D76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7425"/>
      </w:tblGrid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Memory Management</w:t>
            </w:r>
            <w:r>
              <w:t xml:space="preserve"> Test Document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F377F4" w:rsidRDefault="00F377F4" w:rsidP="00F377F4">
      <w:pPr>
        <w:rPr>
          <w:b/>
        </w:rPr>
      </w:pPr>
      <w:r>
        <w:rPr>
          <w:b/>
        </w:rPr>
        <w:br w:type="page"/>
      </w:r>
    </w:p>
    <w:p w:rsidR="00F377F4" w:rsidRDefault="00F377F4" w:rsidP="00F377F4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F377F4" w:rsidRPr="0045799D" w:rsidTr="00AA2273"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F377F4" w:rsidRPr="0045799D" w:rsidTr="00AA2273"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F377F4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F377F4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F377F4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F377F4" w:rsidRPr="0045799D" w:rsidRDefault="00F377F4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F377F4" w:rsidRDefault="00F377F4" w:rsidP="00F377F4">
      <w:pPr>
        <w:ind w:left="360"/>
      </w:pPr>
    </w:p>
    <w:p w:rsidR="00F377F4" w:rsidRPr="0045799D" w:rsidRDefault="00F377F4" w:rsidP="00F377F4">
      <w:pPr>
        <w:pStyle w:val="Heading1"/>
      </w:pPr>
      <w:r>
        <w:t>Procedures</w:t>
      </w:r>
    </w:p>
    <w:p w:rsidR="00F377F4" w:rsidRDefault="00F377F4" w:rsidP="00F377F4">
      <w:pPr>
        <w:rPr>
          <w:b/>
        </w:rPr>
      </w:pPr>
      <w:r>
        <w:rPr>
          <w:b/>
        </w:rPr>
        <w:t xml:space="preserve"> </w:t>
      </w:r>
      <w:r>
        <w:rPr>
          <w:b/>
        </w:rPr>
        <w:t>(To be used in conjunction with the PUS Service Interfaces document</w:t>
      </w:r>
      <w:r>
        <w:rPr>
          <w:b/>
        </w:rPr>
        <w:t>, and the Command Line Interface document</w:t>
      </w:r>
      <w:r>
        <w:rPr>
          <w:b/>
        </w:rPr>
        <w:t>)</w:t>
      </w:r>
    </w:p>
    <w:p w:rsidR="00F377F4" w:rsidRDefault="00F377F4" w:rsidP="00F377F4">
      <w:pPr>
        <w:numPr>
          <w:ilvl w:val="0"/>
          <w:numId w:val="3"/>
        </w:numPr>
        <w:rPr>
          <w:b/>
        </w:rPr>
      </w:pPr>
      <w:r>
        <w:rPr>
          <w:b/>
        </w:rPr>
        <w:t>Memory Loads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Attempt to load something small</w:t>
      </w:r>
      <w:r w:rsidR="00062842">
        <w:t xml:space="preserve"> (&lt;= 128B)</w:t>
      </w:r>
      <w:r>
        <w:t xml:space="preserve"> into the memory of the satellite using the terminal command and the required format (in the CLI document). Try with using the internal memory (</w:t>
      </w:r>
      <w:proofErr w:type="spellStart"/>
      <w:r>
        <w:t>memID</w:t>
      </w:r>
      <w:proofErr w:type="spellEnd"/>
      <w:r>
        <w:t xml:space="preserve"> = 0) and then the SPI memory (</w:t>
      </w:r>
      <w:proofErr w:type="spellStart"/>
      <w:r>
        <w:t>memID</w:t>
      </w:r>
      <w:proofErr w:type="spellEnd"/>
      <w:r>
        <w:t xml:space="preserve"> = 1)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Place the OBC in debug mode and create breakpoints after the load should be stored in memory.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At this point, add in a test array and read from that section of memory. (alternatively fletcher’s checksum could be used)</w:t>
      </w:r>
    </w:p>
    <w:p w:rsidR="00F377F4" w:rsidRPr="00062842" w:rsidRDefault="00062842" w:rsidP="00F377F4">
      <w:pPr>
        <w:numPr>
          <w:ilvl w:val="1"/>
          <w:numId w:val="3"/>
        </w:numPr>
        <w:rPr>
          <w:b/>
        </w:rPr>
      </w:pPr>
      <w:r>
        <w:t>Verify that what is located in the satellite’s memory matches what was intended to be loaded.</w:t>
      </w:r>
    </w:p>
    <w:p w:rsidR="00062842" w:rsidRPr="00062842" w:rsidRDefault="00062842" w:rsidP="00F377F4">
      <w:pPr>
        <w:numPr>
          <w:ilvl w:val="1"/>
          <w:numId w:val="3"/>
        </w:numPr>
        <w:rPr>
          <w:b/>
        </w:rPr>
      </w:pPr>
      <w:r>
        <w:t>Now attempt load something large (&gt;= 128B) into the satellite’s memory.</w:t>
      </w:r>
    </w:p>
    <w:p w:rsidR="00062842" w:rsidRPr="001C63F7" w:rsidRDefault="00062842" w:rsidP="00F377F4">
      <w:pPr>
        <w:numPr>
          <w:ilvl w:val="1"/>
          <w:numId w:val="3"/>
        </w:numPr>
        <w:rPr>
          <w:b/>
        </w:rPr>
      </w:pPr>
      <w:r>
        <w:t>Repeat steps (c-e)</w:t>
      </w:r>
    </w:p>
    <w:p w:rsidR="001C63F7" w:rsidRPr="001C63F7" w:rsidRDefault="001C63F7" w:rsidP="001C63F7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</w:t>
      </w:r>
      <w:r>
        <w:t>lemetry/.</w:t>
      </w:r>
    </w:p>
    <w:p w:rsidR="00062842" w:rsidRDefault="00062842" w:rsidP="00062842">
      <w:pPr>
        <w:numPr>
          <w:ilvl w:val="0"/>
          <w:numId w:val="3"/>
        </w:numPr>
        <w:rPr>
          <w:b/>
        </w:rPr>
      </w:pPr>
      <w:r>
        <w:rPr>
          <w:b/>
        </w:rPr>
        <w:t>Memory Dumps</w:t>
      </w:r>
    </w:p>
    <w:p w:rsidR="00062842" w:rsidRPr="00062842" w:rsidRDefault="00062842" w:rsidP="00062842">
      <w:pPr>
        <w:numPr>
          <w:ilvl w:val="1"/>
          <w:numId w:val="3"/>
        </w:numPr>
        <w:rPr>
          <w:b/>
        </w:rPr>
      </w:pPr>
      <w:r>
        <w:t>Now repeat step 1’s loading procedures (without the checking in debug mode) and then enter a DUMP request from the same region that was loaded to. Again, there are 4 cases to check here (</w:t>
      </w:r>
      <w:proofErr w:type="spellStart"/>
      <w:r>
        <w:t>memID</w:t>
      </w:r>
      <w:proofErr w:type="spellEnd"/>
      <w:r>
        <w:t xml:space="preserve">  = 0,1 and size = small, large)</w:t>
      </w:r>
    </w:p>
    <w:p w:rsidR="00062842" w:rsidRPr="001C63F7" w:rsidRDefault="00062842" w:rsidP="00062842">
      <w:pPr>
        <w:numPr>
          <w:ilvl w:val="1"/>
          <w:numId w:val="3"/>
        </w:numPr>
        <w:rPr>
          <w:b/>
        </w:rPr>
      </w:pPr>
      <w:r>
        <w:t>Verify that what is contained in the dump report (located in /memory/dump/) is what you intended to load into the satellite.</w:t>
      </w:r>
    </w:p>
    <w:p w:rsidR="001C63F7" w:rsidRPr="001C63F7" w:rsidRDefault="001C63F7" w:rsidP="001C63F7">
      <w:pPr>
        <w:numPr>
          <w:ilvl w:val="1"/>
          <w:numId w:val="3"/>
        </w:numPr>
        <w:rPr>
          <w:b/>
        </w:rPr>
      </w:pPr>
      <w:r>
        <w:lastRenderedPageBreak/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</w:p>
    <w:p w:rsidR="00F377F4" w:rsidRDefault="00062842" w:rsidP="00F377F4">
      <w:pPr>
        <w:numPr>
          <w:ilvl w:val="0"/>
          <w:numId w:val="3"/>
        </w:numPr>
        <w:rPr>
          <w:b/>
        </w:rPr>
      </w:pPr>
      <w:r>
        <w:rPr>
          <w:b/>
        </w:rPr>
        <w:t>Memory Checks</w:t>
      </w:r>
    </w:p>
    <w:p w:rsidR="00062842" w:rsidRPr="00062842" w:rsidRDefault="00062842" w:rsidP="00062842">
      <w:pPr>
        <w:numPr>
          <w:ilvl w:val="1"/>
          <w:numId w:val="3"/>
        </w:numPr>
        <w:rPr>
          <w:b/>
        </w:rPr>
      </w:pPr>
      <w:r>
        <w:t xml:space="preserve">Now repeat step 1’s loading procedures (without the checking </w:t>
      </w:r>
      <w:r>
        <w:t>in debug mode) and then enter a CHECK_MEMORY</w:t>
      </w:r>
      <w:r>
        <w:t xml:space="preserve"> request from the same region that was loaded to. Again, there are 4 cases to check here (</w:t>
      </w:r>
      <w:proofErr w:type="spellStart"/>
      <w:r>
        <w:t>memID</w:t>
      </w:r>
      <w:proofErr w:type="spellEnd"/>
      <w:r>
        <w:t xml:space="preserve">  = 0,1 and size = small, large)</w:t>
      </w:r>
    </w:p>
    <w:p w:rsidR="001C63F7" w:rsidRPr="001C63F7" w:rsidRDefault="00062842" w:rsidP="001C63F7">
      <w:pPr>
        <w:numPr>
          <w:ilvl w:val="1"/>
          <w:numId w:val="3"/>
        </w:numPr>
        <w:rPr>
          <w:b/>
        </w:rPr>
      </w:pPr>
      <w:r>
        <w:t>Verify that the checksum which is received matches up with what can be calculated on the ground based on the loaded data. (</w:t>
      </w:r>
      <w:proofErr w:type="gramStart"/>
      <w:r>
        <w:t>fletcher32</w:t>
      </w:r>
      <w:proofErr w:type="gramEnd"/>
      <w:r>
        <w:t xml:space="preserve"> is used).</w:t>
      </w:r>
      <w:r w:rsidR="001C63F7" w:rsidRPr="001C63F7">
        <w:t xml:space="preserve"> </w:t>
      </w:r>
    </w:p>
    <w:p w:rsidR="00062842" w:rsidRPr="001C63F7" w:rsidRDefault="001C63F7" w:rsidP="001C63F7">
      <w:pPr>
        <w:numPr>
          <w:ilvl w:val="1"/>
          <w:numId w:val="3"/>
        </w:numPr>
        <w:rPr>
          <w:b/>
        </w:rPr>
      </w:pPr>
      <w:r>
        <w:t xml:space="preserve">Verify that all the correct TC verification packets were received and logged </w:t>
      </w:r>
      <w:proofErr w:type="gramStart"/>
      <w:r>
        <w:t>under  /</w:t>
      </w:r>
      <w:proofErr w:type="gramEnd"/>
      <w:r>
        <w:t>telemetry/.</w:t>
      </w:r>
      <w:bookmarkStart w:id="2" w:name="_GoBack"/>
      <w:bookmarkEnd w:id="2"/>
    </w:p>
    <w:p w:rsidR="00F377F4" w:rsidRDefault="00F377F4" w:rsidP="00F377F4">
      <w:pPr>
        <w:pStyle w:val="Heading1"/>
      </w:pPr>
      <w:r>
        <w:t>Test Results</w:t>
      </w:r>
    </w:p>
    <w:p w:rsidR="00F377F4" w:rsidRPr="00CE4833" w:rsidRDefault="00F377F4" w:rsidP="00F377F4">
      <w:r>
        <w:t>Report the results of each major test here and the actions that were taken to correct any issues (or simply insert a link to the issue that was opened)</w:t>
      </w:r>
    </w:p>
    <w:p w:rsidR="00F377F4" w:rsidRDefault="00F377F4" w:rsidP="00F377F4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D9" w:rsidRDefault="004E74D9" w:rsidP="00F377F4">
      <w:pPr>
        <w:spacing w:after="0" w:line="240" w:lineRule="auto"/>
      </w:pPr>
      <w:r>
        <w:separator/>
      </w:r>
    </w:p>
  </w:endnote>
  <w:endnote w:type="continuationSeparator" w:id="0">
    <w:p w:rsidR="004E74D9" w:rsidRDefault="004E74D9" w:rsidP="00F3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D9" w:rsidRDefault="004E74D9" w:rsidP="00F377F4">
      <w:pPr>
        <w:spacing w:after="0" w:line="240" w:lineRule="auto"/>
      </w:pPr>
      <w:r>
        <w:separator/>
      </w:r>
    </w:p>
  </w:footnote>
  <w:footnote w:type="continuationSeparator" w:id="0">
    <w:p w:rsidR="004E74D9" w:rsidRDefault="004E74D9" w:rsidP="00F3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062842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Pr="0045799D">
            <w:rPr>
              <w:b/>
              <w:sz w:val="22"/>
            </w:rPr>
            <w:t>/R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1C63F7" w:rsidRPr="001C63F7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F377F4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Memory Management</w:t>
          </w:r>
          <w:r w:rsidR="004E74D9">
            <w:rPr>
              <w:sz w:val="22"/>
            </w:rPr>
            <w:t xml:space="preserve"> Test Document</w:t>
          </w:r>
        </w:p>
      </w:tc>
    </w:tr>
  </w:tbl>
  <w:p w:rsidR="007261CD" w:rsidRDefault="004E74D9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F4"/>
    <w:rsid w:val="00062842"/>
    <w:rsid w:val="001317F2"/>
    <w:rsid w:val="001C63F7"/>
    <w:rsid w:val="004E74D9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BE839-5C9E-434E-A123-6DCE73E8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7F4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7F4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77F4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377F4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7F4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377F4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377F4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377F4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F4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F4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377F4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377F4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377F4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377F4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F377F4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F377F4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F4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F4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377F4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377F4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377F4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377F4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F377F4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F377F4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F377F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377F4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37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2</cp:revision>
  <dcterms:created xsi:type="dcterms:W3CDTF">2016-01-08T19:27:00Z</dcterms:created>
  <dcterms:modified xsi:type="dcterms:W3CDTF">2016-01-08T20:37:00Z</dcterms:modified>
</cp:coreProperties>
</file>