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</w:rPr>
      </w:pPr>
      <w:bookmarkStart w:colFirst="0" w:colLast="0" w:name="_sw5ml9ckn8jr" w:id="0"/>
      <w:bookmarkEnd w:id="0"/>
      <w:r w:rsidDel="00000000" w:rsidR="00000000" w:rsidRPr="00000000">
        <w:rPr>
          <w:i w:val="1"/>
          <w:rtl w:val="0"/>
        </w:rPr>
        <w:t xml:space="preserve">Fuel Coldflow System Pre-Requirements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Pre-Campaign Requirements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gridCol w:w="900"/>
        <w:tblGridChange w:id="0">
          <w:tblGrid>
            <w:gridCol w:w="841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Ethanol Vendor Secured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Tank Mount Design Review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Tank Mount Design Changes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.60791015624996" w:hRule="atLeast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Tank Mount Sourcing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Tank Mount Assembly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Fuel Plumbing Design Review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Fuel Plumbing Design Changes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Fuel Plumbing Sourcing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Fuel Plumbing Assembly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Fuel Sensor Wiring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Fuel Actuator Wiring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Fuel Sensor Verification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Fuel Actuator Verification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Fuel Finalized Config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Checklists Created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Checklists Reviewed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2333625</wp:posOffset>
          </wp:positionH>
          <wp:positionV relativeFrom="paragraph">
            <wp:posOffset>114300</wp:posOffset>
          </wp:positionV>
          <wp:extent cx="1274252" cy="6905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4252" cy="69056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95.92529296875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3">
          <w:pPr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  <w:t xml:space="preserve">Reqs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5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CF-</w:t>
          </w:r>
          <w:r w:rsidDel="00000000" w:rsidR="00000000" w:rsidRPr="00000000">
            <w:rPr>
              <w:rtl w:val="0"/>
            </w:rPr>
            <w:t xml:space="preserve">F1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