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48.png" ContentType="image/png"/>
  <Override PartName="/word/media/rId60.png" ContentType="image/png"/>
  <Override PartName="/word/media/rId53.png" ContentType="image/png"/>
  <Override PartName="/word/media/rId4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Infant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Identification:</w:t>
      </w:r>
      <w:r>
        <w:t xml:space="preserve"> </w:t>
      </w:r>
      <w:r>
        <w:t xml:space="preserve">Enrollment/Claim/Delivery</w:t>
      </w:r>
      <w:r>
        <w:t xml:space="preserve"> </w:t>
      </w:r>
      <w:r>
        <w:t xml:space="preserve">Windows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Infants start from the DOB spine: every person with a single DOB</w:t>
      </w:r>
      <w:r>
        <w:t xml:space="preserve"> </w:t>
      </w:r>
      <w:r>
        <w:t xml:space="preserve">on or after 2019-01-01. Claims are measured against that spine rather than</w:t>
      </w:r>
      <w:r>
        <w:t xml:space="preserve"> </w:t>
      </w:r>
      <w:r>
        <w:t xml:space="preserve">defining it. Enrollment beginning within 12 months of the DOB is the entry</w:t>
      </w:r>
      <w:r>
        <w:t xml:space="preserve"> </w:t>
      </w:r>
      <w:r>
        <w:t xml:space="preserve">requirement; two claim measures are then reported against that denominator:</w:t>
      </w:r>
    </w:p>
    <w:p>
      <w:pPr>
        <w:numPr>
          <w:ilvl w:val="0"/>
          <w:numId w:val="1001"/>
        </w:numPr>
        <w:pStyle w:val="Compact"/>
      </w:pPr>
      <w:r>
        <w:t xml:space="preserve">A newborn-code claim, within 7, 30, 60 or 90 days of the DOB.</w:t>
      </w:r>
    </w:p>
    <w:p>
      <w:pPr>
        <w:numPr>
          <w:ilvl w:val="0"/>
          <w:numId w:val="1001"/>
        </w:numPr>
        <w:pStyle w:val="Compact"/>
      </w:pPr>
      <w:r>
        <w:t xml:space="preserve">Any claim at all, within 30, 60 or 90 days of the DOB.</w:t>
      </w:r>
    </w:p>
    <w:p>
      <w:pPr>
        <w:pStyle w:val="FirstParagraph"/>
      </w:pPr>
      <w:r>
        <w:t xml:space="preserve">Deliveries are pseudo-episodes: claims collapsed on overlapping date</w:t>
      </w:r>
      <w:r>
        <w:t xml:space="preserve"> </w:t>
      </w:r>
      <w:r>
        <w:t xml:space="preserve">spans, anchored on the CPT procedure date where one exists.</w:t>
      </w:r>
    </w:p>
    <w:bookmarkEnd w:id="20"/>
    <w:bookmarkStart w:id="31" w:name="infants"/>
    <w:p>
      <w:pPr>
        <w:pStyle w:val="Heading1"/>
      </w:pPr>
      <w:r>
        <w:t xml:space="preserve">Infants</w:t>
      </w:r>
    </w:p>
    <w:bookmarkStart w:id="21" w:name="cohort"/>
    <w:p>
      <w:pPr>
        <w:pStyle w:val="Heading2"/>
      </w:pPr>
      <w:r>
        <w:t xml:space="preserve">Cohort</w:t>
      </w:r>
    </w:p>
    <w:p>
      <w:pPr>
        <w:pStyle w:val="FirstParagraph"/>
      </w:pPr>
      <w:r>
        <w:t xml:space="preserve">Everyone with a single DOB in range, and how many of them enrol within</w:t>
      </w:r>
      <w:r>
        <w:t xml:space="preserve"> </w:t>
      </w:r>
      <w:r>
        <w:t xml:space="preserve">12 months of it. The denominator here is the birth cohort.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5"/>
        <w:gridCol w:w="1105"/>
        <w:gridCol w:w="2085"/>
        <w:gridCol w:w="128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pct_enrolled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438,968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385,746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289,800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89.0%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2,325,026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1,670,830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71.9%</w:t>
            </w:r>
          </w:p>
        </w:tc>
      </w:tr>
    </w:tbl>
    <w:bookmarkEnd w:id="21"/>
    <w:bookmarkStart w:id="30" w:name="claims-after-birth"/>
    <w:p>
      <w:pPr>
        <w:pStyle w:val="Heading2"/>
      </w:pPr>
      <w:r>
        <w:t xml:space="preserve">Claims after birth</w:t>
      </w:r>
    </w:p>
    <w:p>
      <w:pPr>
        <w:pStyle w:val="FirstParagraph"/>
      </w:pPr>
      <w:r>
        <w:t xml:space="preserve">Everything from here on drops the never-enrolled and the late enrollers: the</w:t>
      </w:r>
      <w:r>
        <w:t xml:space="preserve"> </w:t>
      </w:r>
      <w:r>
        <w:t xml:space="preserve">denominator is</w:t>
      </w:r>
      <w:r>
        <w:t xml:space="preserve"> </w:t>
      </w:r>
      <w:r>
        <w:rPr>
          <w:rStyle w:val="VerbatimChar"/>
        </w:rPr>
        <w:t xml:space="preserve">n_enrolled_in_window</w:t>
      </w:r>
      <w:r>
        <w:t xml:space="preserve"> </w:t>
      </w:r>
      <w:r>
        <w:t xml:space="preserve">from the table above, not the birth</w:t>
      </w:r>
      <w:r>
        <w:t xml:space="preserve"> </w:t>
      </w:r>
      <w:r>
        <w:t xml:space="preserve">cohort.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5"/>
        <w:gridCol w:w="2085"/>
        <w:gridCol w:w="1225"/>
        <w:gridCol w:w="1365"/>
        <w:gridCol w:w="1315"/>
        <w:gridCol w:w="145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n_any_claim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pct_any_claim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246,264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242,576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245,447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1,670,830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1,417,871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1,481,134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88.6%</w:t>
            </w:r>
          </w:p>
        </w:tc>
      </w:tr>
    </w:tbl>
    <w:p>
      <w:pPr>
        <w:pStyle w:val="BodyText"/>
      </w:pPr>
      <w:r>
        <w:t xml:space="preserve">The same two measures split by payer follow. Total is all payers; the Other</w:t>
      </w:r>
      <w:r>
        <w:t xml:space="preserve"> </w:t>
      </w:r>
      <w:r>
        <w:t xml:space="preserve">category is held back for now, so the named rows do not sum to it.</w:t>
      </w:r>
    </w:p>
    <w:bookmarkStart w:id="22" w:name="newborn-code-claims"/>
    <w:p>
      <w:pPr>
        <w:pStyle w:val="Heading3"/>
      </w:pPr>
      <w:r>
        <w:t xml:space="preserve">Newborn-code claims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2085"/>
        <w:gridCol w:w="1225"/>
        <w:gridCol w:w="1365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pct_nb_claim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79.2%</w:t>
            </w:r>
          </w:p>
        </w:tc>
      </w:tr>
    </w:tbl>
    <w:bookmarkEnd w:id="22"/>
    <w:bookmarkStart w:id="28" w:name="any-claim"/>
    <w:p>
      <w:pPr>
        <w:pStyle w:val="Heading3"/>
      </w:pPr>
      <w:r>
        <w:t xml:space="preserve">Any claim</w:t>
      </w:r>
    </w:p>
    <w:p>
      <w:pPr>
        <w:pStyle w:val="FirstParagraph"/>
      </w:pPr>
      <w:r>
        <w:t xml:space="preserve">No code filter: any medical claim line under the infant’s own</w:t>
      </w:r>
      <w:r>
        <w:t xml:space="preserve"> </w:t>
      </w:r>
      <w:r>
        <w:rPr>
          <w:rStyle w:val="VerbatimChar"/>
        </w:rPr>
        <w:t xml:space="preserve">pers_id</w:t>
      </w:r>
      <w:r>
        <w:t xml:space="preserve"> </w:t>
      </w:r>
      <w:r>
        <w:t xml:space="preserve">dated on</w:t>
      </w:r>
      <w:r>
        <w:t xml:space="preserve"> </w:t>
      </w:r>
      <w:r>
        <w:t xml:space="preserve">or after the DOB counts.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2085"/>
        <w:gridCol w:w="1335"/>
        <w:gridCol w:w="1335"/>
        <w:gridCol w:w="133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pct_any_30d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pct_any_60d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pct_any_90d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83.5%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86.7%</w:t>
            </w:r>
          </w:p>
        </w:tc>
      </w:tr>
    </w:tbl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any-claim"/>
          <w:p>
            <w:pPr>
              <w:pStyle w:val="Compact"/>
              <w:jc w:val="center"/>
            </w:pPr>
            <w:bookmarkStart w:id="26" w:name="fig-any-claim"/>
            <w:r>
              <w:drawing>
                <wp:inline>
                  <wp:extent cx="5334000" cy="34290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any-claim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</w:t>
            </w:r>
          </w:p>
          <w:bookmarkEnd w:id="27"/>
        </w:tc>
      </w:tr>
    </w:tbl>
    <w:bookmarkEnd w:id="28"/>
    <w:bookmarkStart w:id="29" w:name="combined-newborn-any-claim-windows"/>
    <w:p>
      <w:pPr>
        <w:pStyle w:val="Heading3"/>
      </w:pPr>
      <w:r>
        <w:t xml:space="preserve">Combined newborn / any-claim windows</w:t>
      </w:r>
    </w:p>
    <w:p>
      <w:pPr>
        <w:pStyle w:val="FirstParagraph"/>
      </w:pPr>
      <w:r>
        <w:t xml:space="preserve">Excel-only: the newborn-code claim fixed at 30 days, alongside all three</w:t>
      </w:r>
      <w:r>
        <w:t xml:space="preserve"> </w:t>
      </w:r>
      <w:r>
        <w:t xml:space="preserve">any-claim windows, in a single table.</w:t>
      </w:r>
      <w:r>
        <w:t xml:space="preserve"> </w:t>
      </w:r>
      <w:r>
        <w:rPr>
          <w:rStyle w:val="VerbatimChar"/>
        </w:rPr>
        <w:t xml:space="preserve">n_nb_claim_30d</w:t>
      </w:r>
      <w:r>
        <w:t xml:space="preserve"> </w:t>
      </w:r>
      <w:r>
        <w:t xml:space="preserve">is independent of the</w:t>
      </w:r>
      <w:r>
        <w:t xml:space="preserve"> </w:t>
      </w:r>
      <w:r>
        <w:rPr>
          <w:rStyle w:val="VerbatimChar"/>
        </w:rPr>
        <w:t xml:space="preserve">nb_claim_window_days</w:t>
      </w:r>
      <w:r>
        <w:t xml:space="preserve"> </w:t>
      </w:r>
      <w:r>
        <w:t xml:space="preserve">parameter used above.</w:t>
      </w:r>
    </w:p>
    <w:bookmarkEnd w:id="29"/>
    <w:bookmarkEnd w:id="30"/>
    <w:bookmarkEnd w:id="31"/>
    <w:bookmarkStart w:id="41" w:name="deliveries"/>
    <w:p>
      <w:pPr>
        <w:pStyle w:val="Heading1"/>
      </w:pPr>
      <w:r>
        <w:t xml:space="preserve">Deliveries</w:t>
      </w:r>
    </w:p>
    <w:bookmarkStart w:id="32" w:name="attrition"/>
    <w:p>
      <w:pPr>
        <w:pStyle w:val="Heading2"/>
      </w:pPr>
      <w:r>
        <w:t xml:space="preserve">Attrition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6"/>
        <w:gridCol w:w="1145"/>
        <w:gridCol w:w="1105"/>
        <w:gridCol w:w="98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dropped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pct_kept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Delivery code hits (any age, incl. infant claims)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3,062,117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Joined to claim dates in medical_adj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3,062,117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Age 12-50 at service, or no DOB on 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1,661,131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Collapsed into an episode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</w:t>
            </w:r>
          </w:p>
        </w:tc>
      </w:tr>
      <w:tr>
        <w:trPr>
          <w:trHeight w:val="4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Episode dated within the analysis years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45.7%</w:t>
            </w:r>
          </w:p>
        </w:tc>
      </w:tr>
    </w:tbl>
    <w:bookmarkEnd w:id="32"/>
    <w:bookmarkStart w:id="33" w:name="episode-dating"/>
    <w:p>
      <w:pPr>
        <w:pStyle w:val="Heading2"/>
      </w:pPr>
      <w:r>
        <w:t xml:space="preserve">Episode dating</w:t>
      </w:r>
    </w:p>
    <w:p>
      <w:pPr>
        <w:pStyle w:val="FirstParagraph"/>
      </w:pPr>
      <w:r>
        <w:t xml:space="preserve">Episodes anchored on a CPT date rather than falling back to a diagnosis date.</w:t>
      </w:r>
      <w:r>
        <w:t xml:space="preserve"> </w:t>
      </w:r>
      <w:r>
        <w:t xml:space="preserve">The date source drives the year assignment, so a large diagnosis share weakens</w:t>
      </w:r>
      <w:r>
        <w:t xml:space="preserve"> </w:t>
      </w:r>
      <w:r>
        <w:t xml:space="preserve">the year-by-year counts.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955"/>
        <w:gridCol w:w="1065"/>
        <w:gridCol w:w="884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pct_cpt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235,150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236,135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79.9%</w:t>
            </w:r>
          </w:p>
        </w:tc>
      </w:tr>
    </w:tbl>
    <w:bookmarkEnd w:id="33"/>
    <w:bookmarkStart w:id="34" w:name="delivery-counts"/>
    <w:p>
      <w:pPr>
        <w:pStyle w:val="Heading2"/>
      </w:pPr>
      <w:r>
        <w:t xml:space="preserve">Delivery counts</w:t>
      </w:r>
    </w:p>
    <w:p>
      <w:pPr>
        <w:pStyle w:val="FirstParagraph"/>
      </w:pPr>
      <w:r>
        <w:t xml:space="preserve">One instance per person per year, taking the maximum</w:t>
      </w:r>
      <w:r>
        <w:t xml:space="preserve"> </w:t>
      </w:r>
      <w:r>
        <w:rPr>
          <w:rStyle w:val="VerbatimChar"/>
        </w:rPr>
        <w:t xml:space="preserve">baby_count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n_mothers</w:t>
      </w:r>
      <w:r>
        <w:t xml:space="preserve"> </w:t>
      </w:r>
      <w:r>
        <w:t xml:space="preserve">counts people;</w:t>
      </w:r>
      <w:r>
        <w:t xml:space="preserve"> </w:t>
      </w:r>
      <w:r>
        <w:rPr>
          <w:rStyle w:val="VerbatimChar"/>
        </w:rPr>
        <w:t xml:space="preserve">n_babies</w:t>
      </w:r>
      <w:r>
        <w:t xml:space="preserve"> </w:t>
      </w:r>
      <w:r>
        <w:t xml:space="preserve">applies the baby count, so twins contribute 2.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1154"/>
        <w:gridCol w:w="1035"/>
        <w:gridCol w:w="1225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n_mothers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n_babies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n_episodes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200,538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203,454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216,776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50,429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11,563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278,768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220,859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52,629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10,943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284,431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218,992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60,195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11,288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290,475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224,237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61,730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10,709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296,676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210,403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69,460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10,279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290,142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196,817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81,844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6,617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285,278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178,114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73,462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77,283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3,908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241,334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259,305</w:t>
            </w:r>
          </w:p>
        </w:tc>
      </w:tr>
    </w:tbl>
    <w:bookmarkEnd w:id="34"/>
    <w:bookmarkStart w:id="40" w:name="length-of-stay-versus-cpt-span"/>
    <w:p>
      <w:pPr>
        <w:pStyle w:val="Heading2"/>
      </w:pPr>
      <w:r>
        <w:t xml:space="preserve">Length of stay versus CPT span</w:t>
      </w:r>
    </w:p>
    <w:p>
      <w:pPr>
        <w:pStyle w:val="FirstParagraph"/>
      </w:pPr>
      <w:r>
        <w:t xml:space="preserve">Three measures of how long the delivery event lasted:</w:t>
      </w:r>
    </w:p>
    <w:p>
      <w:pPr>
        <w:numPr>
          <w:ilvl w:val="0"/>
          <w:numId w:val="1002"/>
        </w:numPr>
        <w:pStyle w:val="Compact"/>
      </w:pPr>
      <w:r>
        <w:t xml:space="preserve">LOS:</w:t>
      </w:r>
      <w:r>
        <w:t xml:space="preserve"> </w:t>
      </w:r>
      <w:r>
        <w:rPr>
          <w:rStyle w:val="VerbatimChar"/>
        </w:rPr>
        <w:t xml:space="preserve">discharge_dt - admit_dt</w:t>
      </w:r>
      <w:r>
        <w:t xml:space="preserve">, only where an institutional claim is present.</w:t>
      </w:r>
    </w:p>
    <w:p>
      <w:pPr>
        <w:numPr>
          <w:ilvl w:val="0"/>
          <w:numId w:val="1002"/>
        </w:numPr>
        <w:pStyle w:val="Compact"/>
      </w:pPr>
      <w:r>
        <w:t xml:space="preserve">CPT span:</w:t>
      </w:r>
      <w:r>
        <w:t xml:space="preserve"> </w:t>
      </w:r>
      <w:r>
        <w:rPr>
          <w:rStyle w:val="VerbatimChar"/>
        </w:rPr>
        <w:t xml:space="preserve">cpt_dos_max - cpt_dos_min</w:t>
      </w:r>
      <w:r>
        <w:t xml:space="preserve">, how far the procedure lines spread.</w:t>
      </w:r>
    </w:p>
    <w:p>
      <w:pPr>
        <w:numPr>
          <w:ilvl w:val="0"/>
          <w:numId w:val="1002"/>
        </w:numPr>
        <w:pStyle w:val="Compact"/>
      </w:pPr>
      <w:r>
        <w:t xml:space="preserve">Episode length:</w:t>
      </w:r>
      <w:r>
        <w:t xml:space="preserve"> </w:t>
      </w:r>
      <w:r>
        <w:rPr>
          <w:rStyle w:val="VerbatimChar"/>
        </w:rPr>
        <w:t xml:space="preserve">episode_end - episode_start</w:t>
      </w:r>
      <w:r>
        <w:t xml:space="preserve">, the full derived span.</w:t>
      </w:r>
    </w:p>
    <w:p>
      <w:pPr>
        <w:pStyle w:val="FirstParagraph"/>
      </w:pPr>
      <w:r>
        <w:t xml:space="preserve">Distribution of the three measures, capped at 21 days.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los-marginals"/>
          <w:p>
            <w:pPr>
              <w:pStyle w:val="Compact"/>
              <w:jc w:val="center"/>
            </w:pPr>
            <w:bookmarkStart w:id="38" w:name="fig-los-marginals"/>
            <w:r>
              <w:drawing>
                <wp:inline>
                  <wp:extent cx="5334000" cy="419099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los-marginals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9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</w:t>
            </w:r>
          </w:p>
          <w:bookmarkEnd w:id="39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5"/>
        <w:gridCol w:w="1225"/>
        <w:gridCol w:w="81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n_episodes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within the stay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1,385,653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before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after discharge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</w:tbl>
    <w:bookmarkEnd w:id="40"/>
    <w:bookmarkEnd w:id="41"/>
    <w:bookmarkStart w:id="59" w:name="delivery-data-quality"/>
    <w:p>
      <w:pPr>
        <w:pStyle w:val="Heading1"/>
      </w:pPr>
      <w:r>
        <w:t xml:space="preserve">Delivery data quality</w:t>
      </w:r>
    </w:p>
    <w:bookmarkStart w:id="47" w:name="pregnancies-per-person"/>
    <w:p>
      <w:pPr>
        <w:pStyle w:val="Heading2"/>
      </w:pPr>
      <w:r>
        <w:t xml:space="preserve">Pregnancies per person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preg-per-person"/>
          <w:p>
            <w:pPr>
              <w:pStyle w:val="Compact"/>
              <w:jc w:val="center"/>
            </w:pPr>
            <w:bookmarkStart w:id="45" w:name="fig-preg-per-person"/>
            <w:r>
              <w:drawing>
                <wp:inline>
                  <wp:extent cx="5334000" cy="34290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preg-per-person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</w:t>
            </w:r>
          </w:p>
          <w:bookmarkEnd w:id="46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4"/>
        <w:gridCol w:w="1145"/>
        <w:gridCol w:w="814"/>
      </w:tblGrid>
      <w:tr>
        <w:trPr>
          <w:trHeight w:val="4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969,080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</w:tbl>
    <w:bookmarkEnd w:id="47"/>
    <w:bookmarkStart w:id="58" w:name="gaps-between-pregnancies"/>
    <w:p>
      <w:pPr>
        <w:pStyle w:val="Heading2"/>
      </w:pPr>
      <w:r>
        <w:t xml:space="preserve">Gaps between pregnancies</w:t>
      </w:r>
    </w:p>
    <w:p>
      <w:pPr>
        <w:pStyle w:val="FirstParagraph"/>
      </w:pPr>
      <w:r>
        <w:t xml:space="preserve">Interval between consecutive</w:t>
      </w:r>
      <w:r>
        <w:t xml:space="preserve"> </w:t>
      </w:r>
      <w:r>
        <w:rPr>
          <w:rStyle w:val="VerbatimChar"/>
        </w:rPr>
        <w:t xml:space="preserve">delivery_dt</w:t>
      </w:r>
      <w:r>
        <w:t xml:space="preserve"> </w:t>
      </w:r>
      <w:r>
        <w:t xml:space="preserve">values for people with more than one</w:t>
      </w:r>
      <w:r>
        <w:t xml:space="preserve"> </w:t>
      </w:r>
      <w:r>
        <w:t xml:space="preserve">episode.</w:t>
      </w:r>
    </w:p>
    <w:p>
      <w:pPr>
        <w:pStyle w:val="BodyText"/>
      </w:pPr>
      <w:r>
        <w:t xml:space="preserve">Full range, capped at five years.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preg-gaps"/>
          <w:p>
            <w:pPr>
              <w:pStyle w:val="Compact"/>
              <w:jc w:val="center"/>
            </w:pPr>
            <w:bookmarkStart w:id="51" w:name="fig-preg-gaps"/>
            <w:r>
              <w:drawing>
                <wp:inline>
                  <wp:extent cx="5334000" cy="34290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preg-gaps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</w:t>
            </w:r>
          </w:p>
          <w:bookmarkEnd w:id="52"/>
        </w:tc>
      </w:tr>
    </w:tbl>
    <w:p>
      <w:pPr>
        <w:pStyle w:val="BodyText"/>
      </w:pPr>
      <w:r>
        <w:t xml:space="preserve">First year only, where the implausible intervals sit.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preg-gaps-short"/>
          <w:p>
            <w:pPr>
              <w:pStyle w:val="Compact"/>
              <w:jc w:val="center"/>
            </w:pPr>
            <w:bookmarkStart w:id="56" w:name="fig-preg-gaps-short"/>
            <w:r>
              <w:drawing>
                <wp:inline>
                  <wp:extent cx="5334000" cy="34290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preg-gaps-shor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</w:t>
            </w:r>
          </w:p>
          <w:bookmarkEnd w:id="57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5"/>
        <w:gridCol w:w="1174"/>
        <w:gridCol w:w="81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n_intervals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 30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136,591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30-89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90-179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180-269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270+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422,407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</w:t>
            </w:r>
          </w:p>
        </w:tc>
      </w:tr>
    </w:tbl>
    <w:bookmarkEnd w:id="58"/>
    <w:bookmarkEnd w:id="59"/>
    <w:bookmarkStart w:id="65" w:name="X10a4307a9fe3d591460059852d0b72fd226b492"/>
    <w:p>
      <w:pPr>
        <w:pStyle w:val="Heading1"/>
      </w:pPr>
      <w:r>
        <w:t xml:space="preserve">If you only include CPT deliveries, does the weird gaps go away?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preg-gaps-cpt"/>
          <w:p>
            <w:pPr>
              <w:pStyle w:val="Compact"/>
              <w:jc w:val="center"/>
            </w:pPr>
            <w:bookmarkStart w:id="63" w:name="fig-preg-gaps-cpt"/>
            <w:r>
              <w:drawing>
                <wp:inline>
                  <wp:extent cx="5334000" cy="34290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preg-gaps-cpt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</w:t>
            </w:r>
          </w:p>
          <w:bookmarkEnd w:id="64"/>
        </w:tc>
      </w:tr>
    </w:tbl>
    <w:bookmarkEnd w:id="65"/>
    <w:bookmarkStart w:id="71" w:name="vital-statistics"/>
    <w:p>
      <w:pPr>
        <w:pStyle w:val="Heading1"/>
      </w:pPr>
      <w:r>
        <w:t xml:space="preserve">Vital statistics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5"/>
        <w:gridCol w:w="754"/>
        <w:gridCol w:w="955"/>
        <w:gridCol w:w="955"/>
        <w:gridCol w:w="1015"/>
        <w:gridCol w:w="884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pipeline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vital_n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pct_diff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377,599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-114,794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-30.4%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-106,251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-28.9%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-107,360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-28.7%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-113,356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-114,088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-29.4%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-31.1%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-144,499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-38.3%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-134,389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-36.5%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-138,675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-146,546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-37.6%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-148,164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-38.2%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-157,753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-40.4%</w:t>
            </w:r>
          </w:p>
        </w:tc>
      </w:tr>
      <w:tr>
        <w:trPr>
          <w:trHeight w:val="4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Percent difference from vital statistics, by category.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vital"/>
          <w:p>
            <w:pPr>
              <w:pStyle w:val="Compact"/>
              <w:jc w:val="center"/>
            </w:pPr>
            <w:bookmarkStart w:id="69" w:name="fig-vital"/>
            <w:r>
              <w:drawing>
                <wp:inline>
                  <wp:extent cx="5334000" cy="34290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4--1-_files/figure-docx/fig-vital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</w:t>
            </w:r>
          </w:p>
          <w:bookmarkEnd w:id="70"/>
        </w:tc>
      </w:tr>
    </w:tbl>
    <w:bookmarkEnd w:id="71"/>
    <w:bookmarkStart w:id="72" w:name="excel-export"/>
    <w:p>
      <w:pPr>
        <w:pStyle w:val="Heading1"/>
      </w:pPr>
      <w:r>
        <w:t xml:space="preserve">Excel export</w:t>
      </w:r>
    </w:p>
    <w:p>
      <w:pPr>
        <w:pStyle w:val="SourceCode"/>
      </w:pPr>
      <w:r>
        <w:rPr>
          <w:rStyle w:val="VerbatimChar"/>
        </w:rPr>
        <w:t xml:space="preserve">Wrote H:/colour/analysis/infant_delivery_counts.xlsx 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60" Target="media/rId60.png" /><Relationship Type="http://schemas.openxmlformats.org/officeDocument/2006/relationships/image" Id="rId53" Target="media/rId53.png" /><Relationship Type="http://schemas.openxmlformats.org/officeDocument/2006/relationships/image" Id="rId42" Target="media/rId4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Infant and Delivery Identification: Enrollment/Claim/Delivery Windows</dc:title>
  <dc:creator/>
  <cp:keywords/>
  <dcterms:created xsi:type="dcterms:W3CDTF">2026-08-27T18:28:45Z</dcterms:created>
  <dcterms:modified xsi:type="dcterms:W3CDTF">2026-08-27T18:28:45Z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