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POEM</w:t>
      </w:r>
      <w:r>
        <w:t xml:space="preserve"> </w:t>
      </w:r>
      <w:r>
        <w:t xml:space="preserve">TX</w:t>
      </w:r>
      <w:r>
        <w:t xml:space="preserve"> </w:t>
      </w:r>
      <w:r>
        <w:t xml:space="preserve">Paper</w:t>
      </w:r>
      <w:r>
        <w:t xml:space="preserve"> </w:t>
      </w:r>
      <w:r>
        <w:t xml:space="preserve">2</w:t>
      </w:r>
      <w:r>
        <w:t xml:space="preserve"> </w:t>
      </w:r>
      <w:r>
        <w:t xml:space="preserve">(APCD</w:t>
      </w:r>
      <w:r>
        <w:t xml:space="preserve"> </w:t>
      </w:r>
      <w:r>
        <w:t xml:space="preserve">Data)</w:t>
      </w:r>
      <w:r>
        <w:t xml:space="preserve"> </w:t>
      </w:r>
      <w:r>
        <w:t xml:space="preserve">-</w:t>
      </w:r>
      <w:r>
        <w:t xml:space="preserve"> </w:t>
      </w:r>
      <w:r>
        <w:t xml:space="preserve">Mental</w:t>
      </w:r>
      <w:r>
        <w:t xml:space="preserve"> </w:t>
      </w:r>
      <w:r>
        <w:t xml:space="preserve">Health</w:t>
      </w:r>
    </w:p>
    <w:p>
      <w:pPr>
        <w:pStyle w:val="Date"/>
      </w:pPr>
      <w:r>
        <w:t xml:space="preserve">2026-03-23</w:t>
      </w:r>
    </w:p>
    <w:bookmarkStart w:id="21" w:name="cohort-before-filtering-to-mental-health"/>
    <w:p>
      <w:pPr>
        <w:pStyle w:val="Heading1"/>
      </w:pPr>
      <w:r>
        <w:t xml:space="preserve">Cohort (Before Filtering to Mental Health)</w:t>
      </w:r>
    </w:p>
    <w:p>
      <w:pPr>
        <w:pStyle w:val="FirstParagraph"/>
      </w:pPr>
      <w:r>
        <w:t xml:space="preserve">Right now, APCD data goes until Aug 2025, so filtered anchor dates for 1 year before then. This will soon be updated to include more data, though. At this point, it is not filtered to</w:t>
      </w:r>
      <w:r>
        <w:t xml:space="preserve"> </w:t>
      </w:r>
      <w:r>
        <w:t xml:space="preserve">“</w:t>
      </w:r>
      <w:r>
        <w:t xml:space="preserve">Regular</w:t>
      </w:r>
      <w:r>
        <w:t xml:space="preserve">”</w:t>
      </w:r>
      <w:r>
        <w:t xml:space="preserve"> </w:t>
      </w:r>
      <w:r>
        <w:t xml:space="preserve">Medicaid.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5621"/>
        <w:gridCol w:w="3739"/>
      </w:tblGrid>
      <w:tr>
        <w:trPr>
          <w:cantSplit/>
          <w:trHeight w:val="444" w:hRule="auto"/>
          <w:tblHeader/>
        </w:trPr>
        header 1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 = 1,053,542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cantSplit/>
          <w:trHeight w:val="430" w:hRule="auto"/>
        </w:trPr>
        body 1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Mental Health Sample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138,737 (13%)</w:t>
            </w:r>
          </w:p>
        </w:tc>
      </w:tr>
      <w:tr>
        <w:trPr>
          <w:cantSplit/>
          <w:trHeight w:val="387" w:hRule="auto"/>
        </w:trPr>
        body 2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Birth Outcome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430" w:hRule="auto"/>
        </w:trPr>
        body 3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LB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1,046,367 (99%)</w:t>
            </w:r>
          </w:p>
        </w:tc>
      </w:tr>
      <w:tr>
        <w:trPr>
          <w:cantSplit/>
          <w:trHeight w:val="430" w:hRule="auto"/>
        </w:trPr>
        body 4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SB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7,175 (0.7%)</w:t>
            </w:r>
          </w:p>
        </w:tc>
      </w:tr>
      <w:tr>
        <w:trPr>
          <w:cantSplit/>
          <w:trHeight w:val="384" w:hRule="auto"/>
        </w:trPr>
        body 5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Year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430" w:hRule="auto"/>
        </w:trPr>
        body 6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2019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189,522 (18%)</w:t>
            </w:r>
          </w:p>
        </w:tc>
      </w:tr>
      <w:tr>
        <w:trPr>
          <w:cantSplit/>
          <w:trHeight w:val="430" w:hRule="auto"/>
        </w:trPr>
        body 7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186,347 (18%)</w:t>
            </w:r>
          </w:p>
        </w:tc>
      </w:tr>
      <w:tr>
        <w:trPr>
          <w:cantSplit/>
          <w:trHeight w:val="430" w:hRule="auto"/>
        </w:trPr>
        body 8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184,435 (18%)</w:t>
            </w:r>
          </w:p>
        </w:tc>
      </w:tr>
      <w:tr>
        <w:trPr>
          <w:cantSplit/>
          <w:trHeight w:val="430" w:hRule="auto"/>
        </w:trPr>
        body 9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192,551 (18%)</w:t>
            </w:r>
          </w:p>
        </w:tc>
      </w:tr>
      <w:tr>
        <w:trPr>
          <w:cantSplit/>
          <w:trHeight w:val="430" w:hRule="auto"/>
        </w:trPr>
        body10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185,053 (18%)</w:t>
            </w:r>
          </w:p>
        </w:tc>
      </w:tr>
      <w:tr>
        <w:trPr>
          <w:cantSplit/>
          <w:trHeight w:val="430" w:hRule="auto"/>
        </w:trPr>
        body11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115,634 (11%)</w:t>
            </w:r>
          </w:p>
        </w:tc>
      </w:tr>
      <w:tr>
        <w:trPr>
          <w:cantSplit/>
          <w:trHeight w:val="430" w:hRule="auto"/>
        </w:trPr>
        body12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 Group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430" w:hRule="auto"/>
        </w:trPr>
        body13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19-24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357,222 (34%)</w:t>
            </w:r>
          </w:p>
        </w:tc>
      </w:tr>
      <w:tr>
        <w:trPr>
          <w:cantSplit/>
          <w:trHeight w:val="430" w:hRule="auto"/>
        </w:trPr>
        body14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25-34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553,993 (53%)</w:t>
            </w:r>
          </w:p>
        </w:tc>
      </w:tr>
      <w:tr>
        <w:trPr>
          <w:cantSplit/>
          <w:trHeight w:val="430" w:hRule="auto"/>
        </w:trPr>
        body15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35-44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140,403 (13%)</w:t>
            </w:r>
          </w:p>
        </w:tc>
      </w:tr>
      <w:tr>
        <w:trPr>
          <w:cantSplit/>
          <w:trHeight w:val="430" w:hRule="auto"/>
        </w:trPr>
        body16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45-55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1,924 (0.2%)</w:t>
            </w:r>
          </w:p>
        </w:tc>
      </w:tr>
      <w:tr>
        <w:trPr>
          <w:cantSplit/>
          <w:trHeight w:val="430" w:hRule="auto"/>
        </w:trPr>
        body17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Enrollment Category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430" w:hRule="auto"/>
        </w:trPr>
        body18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Emergency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240,278 (23%)</w:t>
            </w:r>
          </w:p>
        </w:tc>
      </w:tr>
      <w:tr>
        <w:trPr>
          <w:cantSplit/>
          <w:trHeight w:val="430" w:hRule="auto"/>
        </w:trPr>
        body19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Healthy Texas Women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42 (&lt;0.1%)</w:t>
            </w:r>
          </w:p>
        </w:tc>
      </w:tr>
      <w:tr>
        <w:trPr>
          <w:cantSplit/>
          <w:trHeight w:val="430" w:hRule="auto"/>
        </w:trPr>
        body20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Other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 (&lt;0.1%)</w:t>
            </w:r>
          </w:p>
        </w:tc>
      </w:tr>
      <w:tr>
        <w:trPr>
          <w:cantSplit/>
          <w:trHeight w:val="430" w:hRule="auto"/>
        </w:trPr>
        body21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Regular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797,227 (76%)</w:t>
            </w:r>
          </w:p>
        </w:tc>
      </w:tr>
      <w:tr>
        <w:trPr>
          <w:cantSplit/>
          <w:trHeight w:val="430" w:hRule="auto"/>
        </w:trPr>
        body22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Three months prior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4,131 (0.4%)</w:t>
            </w:r>
          </w:p>
        </w:tc>
      </w:tr>
      <w:tr>
        <w:trPr>
          <w:cantSplit/>
          <w:trHeight w:val="430" w:hRule="auto"/>
        </w:trPr>
        body23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Unknown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11,828 (1.1%)</w:t>
            </w:r>
          </w:p>
        </w:tc>
      </w:tr>
      <w:tr>
        <w:trPr>
          <w:cantSplit/>
          <w:trHeight w:val="360" w:hRule="auto"/>
        </w:trPr>
        footer 1
        <w:tc>
          <w:tcPr>
            <w:gridSpan w:val="2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n (%)</w:t>
            </w:r>
          </w:p>
        </w:tc>
      </w:tr>
    </w:tbl>
    <w:p>
      <w:r>
        <w:br w:type="page"/>
      </w:r>
    </w:p>
    <w:bookmarkStart w:id="20" w:name="X39860cc0f150a163d21deb88ab4a9d18c232b0e"/>
    <w:p>
      <w:pPr>
        <w:pStyle w:val="Heading3"/>
      </w:pPr>
      <w:r>
        <w:t xml:space="preserve">Diagnoses &amp; Outcomes by Mental Health Sample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260"/>
        <w:gridCol w:w="2837"/>
        <w:gridCol w:w="2262"/>
      </w:tblGrid>
      <w:tr>
        <w:trPr>
          <w:cantSplit/>
          <w:trHeight w:val="457" w:hRule="auto"/>
          <w:tblHeader/>
        </w:trPr>
        header 1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Overall (No Prior MH), N = 914,805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MH Subgroup, N = 138,737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cantSplit/>
          <w:trHeight w:val="430" w:hRule="auto"/>
        </w:trPr>
        body 1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Prior: Anxiety and fear-related disorders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85,411 (62%)</w:t>
            </w:r>
          </w:p>
        </w:tc>
      </w:tr>
      <w:tr>
        <w:trPr>
          <w:cantSplit/>
          <w:trHeight w:val="430" w:hRule="auto"/>
        </w:trPr>
        body 2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Prior: Depressive disorders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74,869 (54%)</w:t>
            </w:r>
          </w:p>
        </w:tc>
      </w:tr>
      <w:tr>
        <w:trPr>
          <w:cantSplit/>
          <w:trHeight w:val="430" w:hRule="auto"/>
        </w:trPr>
        body 3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Prior: Suicidal ideation/attempt/self-harm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3,867 (2.8%)</w:t>
            </w:r>
          </w:p>
        </w:tc>
      </w:tr>
      <w:tr>
        <w:trPr>
          <w:cantSplit/>
          <w:trHeight w:val="430" w:hRule="auto"/>
        </w:trPr>
        body 4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Prior: Schizophrenia spectrum/psychotic disorders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4,180 (3.0%)</w:t>
            </w:r>
          </w:p>
        </w:tc>
      </w:tr>
      <w:tr>
        <w:trPr>
          <w:cantSplit/>
          <w:trHeight w:val="430" w:hRule="auto"/>
        </w:trPr>
        body 5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Prior: Trauma- and stressor-related disorders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23,708 (17%)</w:t>
            </w:r>
          </w:p>
        </w:tc>
      </w:tr>
      <w:tr>
        <w:trPr>
          <w:cantSplit/>
          <w:trHeight w:val="430" w:hRule="auto"/>
        </w:trPr>
        body 6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Prior: Bipolar and related disorders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20,460 (15%)</w:t>
            </w:r>
          </w:p>
        </w:tc>
      </w:tr>
      <w:tr>
        <w:trPr>
          <w:cantSplit/>
          <w:trHeight w:val="430" w:hRule="auto"/>
        </w:trPr>
        body 7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Prior: Neurodevelopmental disorders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56 (&lt;0.1%)</w:t>
            </w:r>
          </w:p>
        </w:tc>
      </w:tr>
      <w:tr>
        <w:trPr>
          <w:cantSplit/>
          <w:trHeight w:val="430" w:hRule="auto"/>
        </w:trPr>
        body 8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Prior: Other disorders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10,540 (7.6%)</w:t>
            </w:r>
          </w:p>
        </w:tc>
      </w:tr>
      <w:tr>
        <w:trPr>
          <w:cantSplit/>
          <w:trHeight w:val="430" w:hRule="auto"/>
        </w:trPr>
        body 9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Postpartum: Any MH diagnosis (0-12 months)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77,500 (8.5%)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63,129 (46%)</w:t>
            </w:r>
          </w:p>
        </w:tc>
      </w:tr>
      <w:tr>
        <w:trPr>
          <w:cantSplit/>
          <w:trHeight w:val="430" w:hRule="auto"/>
        </w:trPr>
        body10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Postpartum: Anxiety and fear-related disorders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36,423 (4.0%)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38,820 (28%)</w:t>
            </w:r>
          </w:p>
        </w:tc>
      </w:tr>
      <w:tr>
        <w:trPr>
          <w:cantSplit/>
          <w:trHeight w:val="430" w:hRule="auto"/>
        </w:trPr>
        body11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Postpartum: Depressive disorders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29,290 (3.2%)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34,336 (25%)</w:t>
            </w:r>
          </w:p>
        </w:tc>
      </w:tr>
      <w:tr>
        <w:trPr>
          <w:cantSplit/>
          <w:trHeight w:val="430" w:hRule="auto"/>
        </w:trPr>
        body12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Postpartum: Suicidal ideation/attempt/self-harm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2,882 (0.3%)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3,244 (2.3%)</w:t>
            </w:r>
          </w:p>
        </w:tc>
      </w:tr>
      <w:tr>
        <w:trPr>
          <w:cantSplit/>
          <w:trHeight w:val="430" w:hRule="auto"/>
        </w:trPr>
        body13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Postpartum: Schizophrenia spectrum/psychotic disorders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1,359 (0.1%)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3,182 (2.3%)</w:t>
            </w:r>
          </w:p>
        </w:tc>
      </w:tr>
      <w:tr>
        <w:trPr>
          <w:cantSplit/>
          <w:trHeight w:val="430" w:hRule="auto"/>
        </w:trPr>
        body14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Postpartum: Trauma- and stressor-related disorders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15,097 (1.7%)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17,038 (12%)</w:t>
            </w:r>
          </w:p>
        </w:tc>
      </w:tr>
      <w:tr>
        <w:trPr>
          <w:cantSplit/>
          <w:trHeight w:val="430" w:hRule="auto"/>
        </w:trPr>
        body15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Postpartum: Bipolar and related disorders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5,485 (0.6%)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13,812 (10.0%)</w:t>
            </w:r>
          </w:p>
        </w:tc>
      </w:tr>
      <w:tr>
        <w:trPr>
          <w:cantSplit/>
          <w:trHeight w:val="430" w:hRule="auto"/>
        </w:trPr>
        body16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Postpartum: Neurodevelopmental disorders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 (&lt;0.1%)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33 (&lt;0.1%)</w:t>
            </w:r>
          </w:p>
        </w:tc>
      </w:tr>
      <w:tr>
        <w:trPr>
          <w:cantSplit/>
          <w:trHeight w:val="430" w:hRule="auto"/>
        </w:trPr>
        body17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Postpartum: Other disorders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27,371 (3.0%)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15,806 (11%)</w:t>
            </w:r>
          </w:p>
        </w:tc>
      </w:tr>
      <w:tr>
        <w:trPr>
          <w:cantSplit/>
          <w:trHeight w:val="430" w:hRule="auto"/>
        </w:trPr>
        body18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Continuously enrolled 12 months post-delivery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513,983 (56%)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95,947 (69%)</w:t>
            </w:r>
          </w:p>
        </w:tc>
      </w:tr>
      <w:tr>
        <w:trPr>
          <w:cantSplit/>
          <w:trHeight w:val="430" w:hRule="auto"/>
        </w:trPr>
        body19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Enrolled at 12 months post-delivery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606,838 (66%)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108,158 (78%)</w:t>
            </w:r>
          </w:p>
        </w:tc>
      </w:tr>
      <w:tr>
        <w:trPr>
          <w:cantSplit/>
          <w:trHeight w:val="430" w:hRule="auto"/>
        </w:trPr>
        body20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MH prescription (0-12 months)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40,338 (4.4%)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37,001 (27%)</w:t>
            </w:r>
          </w:p>
        </w:tc>
      </w:tr>
      <w:tr>
        <w:trPr>
          <w:cantSplit/>
          <w:trHeight w:val="430" w:hRule="auto"/>
        </w:trPr>
        body21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Therapy session (0-12 months)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13,401 (1.5%)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16,096 (12%)</w:t>
            </w:r>
          </w:p>
        </w:tc>
      </w:tr>
      <w:tr>
        <w:trPr>
          <w:cantSplit/>
          <w:trHeight w:val="360" w:hRule="auto"/>
        </w:trPr>
        footer 1
        <w:tc>
          <w:tcPr>
            <w:gridSpan w:val="3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n (%)</w:t>
            </w:r>
          </w:p>
        </w:tc>
      </w:tr>
    </w:tbl>
    <w:p>
      <w:r>
        <w:br w:type="page"/>
      </w:r>
    </w:p>
    <w:bookmarkEnd w:id="20"/>
    <w:bookmarkEnd w:id="21"/>
    <w:bookmarkStart w:id="33" w:name="outcome-graphs"/>
    <w:p>
      <w:pPr>
        <w:pStyle w:val="Heading1"/>
      </w:pPr>
      <w:r>
        <w:t xml:space="preserve">Outcome Graphs</w:t>
      </w:r>
    </w:p>
    <w:bookmarkStart w:id="25" w:name="mh-prescriptions-0-12-months-postpartum"/>
    <w:p>
      <w:pPr>
        <w:pStyle w:val="Heading2"/>
      </w:pPr>
      <w:r>
        <w:t xml:space="preserve">MH Prescriptions 0-12 Months Postpartum</w:t>
      </w:r>
    </w:p>
    <w:p>
      <w:pPr>
        <w:pStyle w:val="FirstParagraph"/>
      </w:pPr>
      <w:r>
        <w:drawing>
          <wp:inline>
            <wp:extent cx="5334000" cy="3556000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apcd-POEM_TX_paper2_v05_files/figure-docx/mh-drug-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br w:type="page"/>
      </w:r>
    </w:p>
    <w:bookmarkEnd w:id="25"/>
    <w:bookmarkStart w:id="32" w:name="therapy-sessions-0-12-months-postpartum"/>
    <w:p>
      <w:pPr>
        <w:pStyle w:val="Heading2"/>
      </w:pPr>
      <w:r>
        <w:t xml:space="preserve">Therapy Sessions 0-12 Months Postpartum</w:t>
      </w:r>
    </w:p>
    <w:p>
      <w:pPr>
        <w:pStyle w:val="FirstParagraph"/>
      </w:pPr>
      <w:r>
        <w:drawing>
          <wp:inline>
            <wp:extent cx="5334000" cy="3556000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apcd-POEM_TX_paper2_v05_files/figure-docx/therapy-1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br w:type="page"/>
      </w:r>
    </w:p>
    <w:bookmarkStart w:id="31" w:name="therapy-mh-prescriptions-by-time-period"/>
    <w:p>
      <w:pPr>
        <w:pStyle w:val="Heading3"/>
      </w:pPr>
      <w:r>
        <w:t xml:space="preserve">Therapy &amp; MH Prescriptions by Time Period</w:t>
      </w:r>
    </w:p>
    <w:bookmarkStart w:id="29" w:name="overall"/>
    <w:p>
      <w:pPr>
        <w:pStyle w:val="Heading4"/>
      </w:pPr>
      <w:r>
        <w:t xml:space="preserve">Overall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895"/>
        <w:gridCol w:w="1287"/>
        <w:gridCol w:w="1511"/>
        <w:gridCol w:w="2495"/>
        <w:gridCol w:w="2172"/>
      </w:tblGrid>
      <w:tr>
        <w:trPr>
          <w:cantSplit/>
          <w:trHeight w:val="455" w:hRule="auto"/>
          <w:tblHeader/>
        </w:trPr>
        header1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1. Pre, N = 189,522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2. FFCRA, N = 416,693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3. Exposure to Unwinding, N = 360,347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4. Extension onwards, N = 86,449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cantSplit/>
          <w:trHeight w:val="430" w:hRule="auto"/>
        </w:trPr>
        body1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Therapy session (0-12 months)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3,454 (1.8%)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12,534 (3.0%)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10,402 (2.9%)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3,079 (3.6%)</w:t>
            </w:r>
          </w:p>
        </w:tc>
      </w:tr>
      <w:tr>
        <w:trPr>
          <w:cantSplit/>
          <w:trHeight w:val="430" w:hRule="auto"/>
        </w:trPr>
        body2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MH prescription (0-12 months)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11,585 (6.1%)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35,261 (8.5%)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25,068 (7.0%)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5,390 (6.2%)</w:t>
            </w:r>
          </w:p>
        </w:tc>
      </w:tr>
      <w:tr>
        <w:trPr>
          <w:cantSplit/>
          <w:trHeight w:val="360" w:hRule="auto"/>
        </w:trPr>
        footer1
        <w:tc>
          <w:tcPr>
            <w:gridSpan w:val="5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n (%)</w:t>
            </w:r>
          </w:p>
        </w:tc>
      </w:tr>
    </w:tbl>
    <w:bookmarkEnd w:id="29"/>
    <w:bookmarkStart w:id="30" w:name="mh-sample"/>
    <w:p>
      <w:pPr>
        <w:pStyle w:val="Heading4"/>
      </w:pPr>
      <w:r>
        <w:t xml:space="preserve">MH Sample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938"/>
        <w:gridCol w:w="1244"/>
        <w:gridCol w:w="1474"/>
        <w:gridCol w:w="2481"/>
        <w:gridCol w:w="2222"/>
      </w:tblGrid>
      <w:tr>
        <w:trPr>
          <w:cantSplit/>
          <w:trHeight w:val="455" w:hRule="auto"/>
          <w:tblHeader/>
        </w:trPr>
        header1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1. Pre, N = 19,116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2. FFCRA, N = 56,908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3. Exposure to Unwinding, N = 50,659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4. Extension onwards, N = 11,972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cantSplit/>
          <w:trHeight w:val="430" w:hRule="auto"/>
        </w:trPr>
        body1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Therapy session (0-12 months)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1,821 (9.5%)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6,685 (12%)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5,906 (12%)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1,667 (14%)</w:t>
            </w:r>
          </w:p>
        </w:tc>
      </w:tr>
      <w:tr>
        <w:trPr>
          <w:cantSplit/>
          <w:trHeight w:val="430" w:hRule="auto"/>
        </w:trPr>
        body2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MH prescription (0-12 months)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4,975 (26%)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16,634 (29%)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12,677 (25%)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2,697 (23%)</w:t>
            </w:r>
          </w:p>
        </w:tc>
      </w:tr>
      <w:tr>
        <w:trPr>
          <w:cantSplit/>
          <w:trHeight w:val="360" w:hRule="auto"/>
        </w:trPr>
        footer1
        <w:tc>
          <w:tcPr>
            <w:gridSpan w:val="5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n (%)</w:t>
            </w:r>
          </w:p>
        </w:tc>
      </w:tr>
    </w:tbl>
    <w:p>
      <w:r>
        <w:br w:type="page"/>
      </w:r>
    </w:p>
    <w:bookmarkEnd w:id="30"/>
    <w:bookmarkEnd w:id="31"/>
    <w:bookmarkEnd w:id="32"/>
    <w:bookmarkEnd w:id="33"/>
    <w:bookmarkStart w:id="34" w:name="changelog"/>
    <w:p>
      <w:pPr>
        <w:pStyle w:val="Heading1"/>
      </w:pPr>
      <w:r>
        <w:t xml:space="preserve">Changelog:</w:t>
      </w:r>
    </w:p>
    <w:p>
      <w:pPr>
        <w:numPr>
          <w:ilvl w:val="0"/>
          <w:numId w:val="1001"/>
        </w:numPr>
        <w:pStyle w:val="Compact"/>
      </w:pPr>
      <w:r>
        <w:t xml:space="preserve">3/23/2026: Added derived (non-overlapping) time period variable. Added Table 3: therapy &amp; MH prescriptions stratified by time period.</w:t>
      </w:r>
    </w:p>
    <w:p>
      <w:pPr>
        <w:numPr>
          <w:ilvl w:val="0"/>
          <w:numId w:val="1001"/>
        </w:numPr>
        <w:pStyle w:val="Compact"/>
      </w:pPr>
      <w:r>
        <w:t xml:space="preserve">3/17/2026: Added</w:t>
      </w:r>
      <w:r>
        <w:t xml:space="preserve"> </w:t>
      </w:r>
      <w:r>
        <w:t xml:space="preserve">“</w:t>
      </w:r>
      <w:r>
        <w:t xml:space="preserve">Extension</w:t>
      </w:r>
      <w:r>
        <w:t xml:space="preserve">”</w:t>
      </w:r>
      <w:r>
        <w:t xml:space="preserve"> </w:t>
      </w:r>
      <w:r>
        <w:t xml:space="preserve">time period (starting March 1, 2024). Added DX after delivery too</w:t>
      </w:r>
    </w:p>
    <w:p>
      <w:pPr>
        <w:numPr>
          <w:ilvl w:val="0"/>
          <w:numId w:val="1001"/>
        </w:numPr>
        <w:pStyle w:val="Compact"/>
      </w:pPr>
      <w:r>
        <w:t xml:space="preserve">3/10/2026: Added postpartum MH DX outcomes and clarified language on prior labels.</w:t>
      </w:r>
    </w:p>
    <w:bookmarkEnd w:id="3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color w:val="5e5e5e"/>
      <w:shd w:val="clear" w:fill="f1f3f5"/>
      <w:i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color w:val="5e5e5e"/>
      <w:shd w:val="clear" w:fill="f1f3f5"/>
      <w:i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color w:val="5e5e5e"/>
      <w:shd w:val="clear" w:fill="f1f3f5"/>
      <w:i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POEM TX Paper 2 (APCD Data) - Mental Health</dc:title>
  <dc:creator/>
  <cp:keywords/>
  <dcterms:created xsi:type="dcterms:W3CDTF">2026-03-23T14:23:12Z</dcterms:created>
  <dcterms:modified xsi:type="dcterms:W3CDTF">2026-03-23T14:23:12Z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date">
    <vt:lpwstr>2026-03-23</vt:lpwstr>
  </property>
  <property fmtid="{D5CDD505-2E9C-101B-9397-08002B2CF9AE}" pid="4" name="editor">
    <vt:lpwstr>source</vt:lpwstr>
  </property>
  <property fmtid="{D5CDD505-2E9C-101B-9397-08002B2CF9AE}" pid="5" name="editor_options">
    <vt:lpwstr/>
  </property>
  <property fmtid="{D5CDD505-2E9C-101B-9397-08002B2CF9AE}" pid="6" name="execute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out-width">
    <vt:lpwstr>100%</vt:lpwstr>
  </property>
  <property fmtid="{D5CDD505-2E9C-101B-9397-08002B2CF9AE}" pid="12" name="page-layout">
    <vt:lpwstr>full</vt:lpwstr>
  </property>
  <property fmtid="{D5CDD505-2E9C-101B-9397-08002B2CF9AE}" pid="13" name="toc-title">
    <vt:lpwstr>Table of contents</vt:lpwstr>
  </property>
</Properties>
</file>