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4073B3"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4073B3">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Heading1"/>
      </w:pPr>
    </w:p>
    <w:p w:rsidR="00703A92" w:rsidRDefault="00703A92" w:rsidP="00703A92">
      <w:pPr>
        <w:pStyle w:val="Heading1"/>
      </w:pPr>
      <w:r>
        <w:t>Estrategia</w:t>
      </w:r>
    </w:p>
    <w:p w:rsidR="00703A92" w:rsidRDefault="00703A92" w:rsidP="00703A92">
      <w:pPr>
        <w:pStyle w:val="Heading2"/>
      </w:pPr>
      <w:r>
        <w:t>Diagrama Entidad – Relación</w:t>
      </w:r>
    </w:p>
    <w:p w:rsidR="008A4158" w:rsidRPr="008A4158" w:rsidRDefault="000A050B" w:rsidP="008A4158">
      <w:r>
        <w:rPr>
          <w:noProof/>
          <w:lang w:val="es-ES" w:eastAsia="es-ES"/>
        </w:rPr>
        <w:drawing>
          <wp:inline distT="0" distB="0" distL="0" distR="0">
            <wp:extent cx="5612130" cy="5521575"/>
            <wp:effectExtent l="0" t="0" r="0" b="0"/>
            <wp:docPr id="4" name="Picture 4" descr="C:\Users\Esteban\Desktop\TP Cupon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TP Cupone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5521575"/>
                    </a:xfrm>
                    <a:prstGeom prst="rect">
                      <a:avLst/>
                    </a:prstGeom>
                    <a:noFill/>
                    <a:ln>
                      <a:noFill/>
                    </a:ln>
                  </pic:spPr>
                </pic:pic>
              </a:graphicData>
            </a:graphic>
          </wp:inline>
        </w:drawing>
      </w:r>
    </w:p>
    <w:p w:rsidR="00703A92" w:rsidRDefault="00703A92" w:rsidP="00703A92"/>
    <w:p w:rsidR="0097013A" w:rsidRDefault="0097013A" w:rsidP="00703A92"/>
    <w:p w:rsidR="000A050B" w:rsidRDefault="000A050B" w:rsidP="00703A92"/>
    <w:p w:rsidR="000A050B" w:rsidRPr="00703A92" w:rsidRDefault="000A050B"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327AEC">
        <w:rPr>
          <w:rFonts w:ascii="Cambria" w:hAnsi="Cambria"/>
          <w:color w:val="auto"/>
        </w:rPr>
        <w:t>, código postal</w:t>
      </w:r>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327AEC">
        <w:rPr>
          <w:rFonts w:ascii="Cambria" w:hAnsi="Cambria"/>
          <w:color w:val="auto"/>
        </w:rPr>
        <w:t>, código postal</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31D2F">
        <w:rPr>
          <w:rFonts w:ascii="Cambria" w:hAnsi="Cambria"/>
          <w:b/>
          <w:color w:val="746425" w:themeColor="accent1" w:themeShade="80"/>
        </w:rPr>
        <w:t>Funcionalidad_por_rol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xml:space="preserve">, mediante la tabla </w:t>
      </w:r>
      <w:proofErr w:type="spellStart"/>
      <w:r w:rsidR="00531D2F">
        <w:rPr>
          <w:rFonts w:ascii="Cambria" w:hAnsi="Cambria"/>
          <w:color w:val="auto"/>
        </w:rPr>
        <w:t>Funcionalidad_por_rol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lastRenderedPageBreak/>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os clientes pueden comprar a otro cliente una determinada suma de dinero para regalársela, esta información es registrada en esta tabla.</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Heading2"/>
      </w:pPr>
      <w:r>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E61895" w:rsidRDefault="00E61895" w:rsidP="00E61895">
      <w:pPr>
        <w:pStyle w:val="ListParagraph"/>
        <w:rPr>
          <w:rFonts w:ascii="Cambria" w:hAnsi="Cambria" w:cs="Arial"/>
          <w:sz w:val="24"/>
          <w:szCs w:val="24"/>
          <w:shd w:val="clear" w:color="auto" w:fill="FFFFFF"/>
        </w:rPr>
      </w:pPr>
    </w:p>
    <w:p w:rsidR="00E61895" w:rsidRDefault="00E61895"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lastRenderedPageBreak/>
        <w:t>Direcciones:</w:t>
      </w:r>
      <w:r>
        <w:rPr>
          <w:rFonts w:ascii="Cambria" w:hAnsi="Cambria" w:cs="Arial"/>
          <w:sz w:val="24"/>
          <w:szCs w:val="24"/>
          <w:shd w:val="clear" w:color="auto" w:fill="FFFFFF"/>
        </w:rPr>
        <w:t xml:space="preserve"> Como el TP no requiere una discriminación de direcciones por calle, altura, piso, etc., decidimos registrarlas mediante un solo campo que la integre por completo.</w:t>
      </w:r>
    </w:p>
    <w:p w:rsidR="00705E23" w:rsidRDefault="00705E23" w:rsidP="00705E23">
      <w:pPr>
        <w:pStyle w:val="ListParagraph"/>
        <w:rPr>
          <w:rFonts w:ascii="Cambria" w:hAnsi="Cambria" w:cs="Arial"/>
          <w:sz w:val="24"/>
          <w:szCs w:val="24"/>
          <w:shd w:val="clear" w:color="auto" w:fill="FFFFFF"/>
        </w:rPr>
      </w:pPr>
    </w:p>
    <w:p w:rsidR="00705E23" w:rsidRP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p>
    <w:p w:rsidR="005A698D" w:rsidRPr="005A698D"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w:t>
      </w:r>
      <w:r w:rsidR="00327AEC">
        <w:rPr>
          <w:rFonts w:ascii="Cambria" w:hAnsi="Cambria" w:cs="Arial"/>
          <w:sz w:val="24"/>
          <w:szCs w:val="24"/>
          <w:shd w:val="clear" w:color="auto" w:fill="FFFFFF"/>
        </w:rPr>
        <w:t xml:space="preserve">rol </w:t>
      </w:r>
      <w:r w:rsidRPr="005A698D">
        <w:rPr>
          <w:rFonts w:ascii="Cambria" w:hAnsi="Cambria" w:cs="Arial"/>
          <w:sz w:val="24"/>
          <w:szCs w:val="24"/>
          <w:shd w:val="clear" w:color="auto" w:fill="FFFFFF"/>
        </w:rPr>
        <w:t xml:space="preserve">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r w:rsidR="00327AEC">
        <w:rPr>
          <w:rFonts w:ascii="Cambria" w:hAnsi="Cambria" w:cs="Arial"/>
          <w:sz w:val="24"/>
          <w:szCs w:val="24"/>
        </w:rPr>
        <w:t xml:space="preserve"> Un nuevo usuario se puede registrar como cliente o proveedor, donde se cargan campos en común como </w:t>
      </w:r>
      <w:proofErr w:type="spellStart"/>
      <w:r w:rsidR="00327AEC">
        <w:rPr>
          <w:rFonts w:ascii="Cambria" w:hAnsi="Cambria" w:cs="Arial"/>
          <w:sz w:val="24"/>
          <w:szCs w:val="24"/>
        </w:rPr>
        <w:t>username</w:t>
      </w:r>
      <w:proofErr w:type="spellEnd"/>
      <w:r w:rsidR="00327AEC">
        <w:rPr>
          <w:rFonts w:ascii="Cambria" w:hAnsi="Cambria" w:cs="Arial"/>
          <w:sz w:val="24"/>
          <w:szCs w:val="24"/>
        </w:rPr>
        <w:t xml:space="preserve"> y </w:t>
      </w:r>
      <w:proofErr w:type="spellStart"/>
      <w:r w:rsidR="00327AEC">
        <w:rPr>
          <w:rFonts w:ascii="Cambria" w:hAnsi="Cambria" w:cs="Arial"/>
          <w:sz w:val="24"/>
          <w:szCs w:val="24"/>
        </w:rPr>
        <w:t>password</w:t>
      </w:r>
      <w:proofErr w:type="spellEnd"/>
      <w:r w:rsidR="00327AEC">
        <w:rPr>
          <w:rFonts w:ascii="Cambria" w:hAnsi="Cambria" w:cs="Arial"/>
          <w:sz w:val="24"/>
          <w:szCs w:val="24"/>
        </w:rPr>
        <w:t xml:space="preserve"> y además los campos distintivos respectivamente de cada rol.</w:t>
      </w:r>
      <w:r w:rsidR="007F4358">
        <w:rPr>
          <w:rFonts w:ascii="Cambria" w:hAnsi="Cambria" w:cs="Arial"/>
          <w:sz w:val="24"/>
          <w:szCs w:val="24"/>
        </w:rPr>
        <w:t xml:space="preserve"> Las zonas de preferencia que pueden elegir los que quieran registrarse como Clientes son </w:t>
      </w:r>
      <w:proofErr w:type="gramStart"/>
      <w:r w:rsidR="007F4358">
        <w:rPr>
          <w:rFonts w:ascii="Cambria" w:hAnsi="Cambria" w:cs="Arial"/>
          <w:sz w:val="24"/>
          <w:szCs w:val="24"/>
        </w:rPr>
        <w:t>las</w:t>
      </w:r>
      <w:proofErr w:type="gramEnd"/>
      <w:r w:rsidR="007F4358">
        <w:rPr>
          <w:rFonts w:ascii="Cambria" w:hAnsi="Cambria" w:cs="Arial"/>
          <w:sz w:val="24"/>
          <w:szCs w:val="24"/>
        </w:rPr>
        <w:t xml:space="preserve"> obtenidos en el proceso de migración.</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 xml:space="preserve">Como decisión de diseño para resolver el monto fijo, decidimos establecer por archivo de configuración un monto mínimo y máximo de </w:t>
      </w:r>
      <w:proofErr w:type="spellStart"/>
      <w:r w:rsidR="00C81A11">
        <w:rPr>
          <w:rFonts w:ascii="Cambria" w:hAnsi="Cambria" w:cs="Arial"/>
          <w:sz w:val="24"/>
          <w:szCs w:val="24"/>
        </w:rPr>
        <w:t>giftcard</w:t>
      </w:r>
      <w:proofErr w:type="spellEnd"/>
      <w:r w:rsidR="00C81A11">
        <w:rPr>
          <w:rFonts w:ascii="Cambria" w:hAnsi="Cambria" w:cs="Arial"/>
          <w:sz w:val="24"/>
          <w:szCs w:val="24"/>
        </w:rPr>
        <w:t>, variando éste en la vista (combo box) de a 5 unidades.</w:t>
      </w:r>
    </w:p>
    <w:p w:rsidR="00015513" w:rsidRPr="00015513" w:rsidRDefault="00015513" w:rsidP="00015513">
      <w:pPr>
        <w:pStyle w:val="ListParagraph"/>
        <w:rPr>
          <w:rFonts w:ascii="Cambria" w:hAnsi="Cambria" w:cs="Arial"/>
          <w:sz w:val="24"/>
          <w:szCs w:val="24"/>
        </w:rPr>
      </w:pPr>
    </w:p>
    <w:p w:rsidR="00015513" w:rsidRPr="00015513"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lastRenderedPageBreak/>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p>
    <w:p w:rsidR="00CA3D48" w:rsidRPr="00CA3D48" w:rsidRDefault="00CA3D48" w:rsidP="00CA3D48">
      <w:pPr>
        <w:pStyle w:val="ListParagraph"/>
        <w:rPr>
          <w:rFonts w:ascii="Cambria" w:hAnsi="Cambria" w:cs="Arial"/>
          <w:sz w:val="24"/>
          <w:szCs w:val="24"/>
        </w:rPr>
      </w:pPr>
    </w:p>
    <w:p w:rsidR="00065C8B" w:rsidRPr="00327AEC" w:rsidRDefault="00CA3D48" w:rsidP="00065C8B">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nos resulta correcto que el proveedor ingrese el código, pues es una cuestión propia del sistema para diferenciar las promociones entre sí.</w:t>
      </w:r>
    </w:p>
    <w:p w:rsidR="00065C8B" w:rsidRPr="00065C8B" w:rsidRDefault="00065C8B" w:rsidP="00065C8B">
      <w:pPr>
        <w:pStyle w:val="ListParagraph"/>
        <w:rPr>
          <w:rFonts w:ascii="Cambria" w:hAnsi="Cambria" w:cs="Arial"/>
          <w:sz w:val="24"/>
          <w:szCs w:val="24"/>
        </w:rPr>
      </w:pPr>
    </w:p>
    <w:p w:rsidR="00327AEC" w:rsidRPr="00887D54"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p>
    <w:p w:rsidR="00887D54" w:rsidRPr="00887D54" w:rsidRDefault="00887D54" w:rsidP="00887D54">
      <w:pPr>
        <w:pStyle w:val="ListParagraph"/>
        <w:rPr>
          <w:rFonts w:ascii="Cambria" w:hAnsi="Cambria"/>
          <w:sz w:val="24"/>
          <w:szCs w:val="24"/>
        </w:rPr>
      </w:pPr>
    </w:p>
    <w:p w:rsidR="00887D54" w:rsidRPr="00327AEC" w:rsidRDefault="00887D54" w:rsidP="005A698D">
      <w:pPr>
        <w:pStyle w:val="ListParagraph"/>
        <w:numPr>
          <w:ilvl w:val="0"/>
          <w:numId w:val="4"/>
        </w:numPr>
        <w:rPr>
          <w:rFonts w:ascii="Cambria" w:hAnsi="Cambria"/>
          <w:sz w:val="24"/>
          <w:szCs w:val="24"/>
        </w:rPr>
      </w:pPr>
      <w:r w:rsidRPr="007F4358">
        <w:rPr>
          <w:rFonts w:ascii="Cambria" w:hAnsi="Cambria"/>
          <w:b/>
          <w:color w:val="746425" w:themeColor="accent1" w:themeShade="80"/>
          <w:sz w:val="24"/>
          <w:szCs w:val="24"/>
        </w:rPr>
        <w:t>Cambio de Rol:</w:t>
      </w:r>
      <w:r>
        <w:rPr>
          <w:rFonts w:ascii="Cambria" w:hAnsi="Cambria"/>
          <w:sz w:val="24"/>
          <w:szCs w:val="24"/>
        </w:rPr>
        <w:t xml:space="preserve"> el administrador general puede cambiarle el rol a cualquier usuario del sistema sea Cliente, Proveedor o Administrador. En caso de que el cambio que se haga sea para ser Cliente o Proveedor, al confirmar el cambio aparecer</w:t>
      </w:r>
      <w:r w:rsidR="007F4358">
        <w:rPr>
          <w:rFonts w:ascii="Cambria" w:hAnsi="Cambria"/>
          <w:sz w:val="24"/>
          <w:szCs w:val="24"/>
        </w:rPr>
        <w:t>á un formulario de alta donde</w:t>
      </w:r>
      <w:r w:rsidR="007F4358">
        <w:rPr>
          <w:rFonts w:ascii="Cambria" w:hAnsi="Cambria" w:cs="Arial"/>
          <w:sz w:val="24"/>
          <w:szCs w:val="24"/>
        </w:rPr>
        <w:t xml:space="preserve"> ya estará cargado y deshabilitado el campo </w:t>
      </w:r>
      <w:proofErr w:type="spellStart"/>
      <w:r w:rsidR="007F4358">
        <w:rPr>
          <w:rFonts w:ascii="Cambria" w:hAnsi="Cambria" w:cs="Arial"/>
          <w:sz w:val="24"/>
          <w:szCs w:val="24"/>
        </w:rPr>
        <w:t>username</w:t>
      </w:r>
      <w:proofErr w:type="spellEnd"/>
      <w:r w:rsidR="007F4358">
        <w:rPr>
          <w:rFonts w:ascii="Cambria" w:hAnsi="Cambria" w:cs="Arial"/>
          <w:sz w:val="24"/>
          <w:szCs w:val="24"/>
        </w:rPr>
        <w:t>, y el de contraseña también aparecerá deshabilitado y podrá cargar los campos distintivos de cada rol.</w:t>
      </w:r>
    </w:p>
    <w:p w:rsidR="00327AEC" w:rsidRPr="00327AEC" w:rsidRDefault="00327AEC" w:rsidP="00327AEC">
      <w:pPr>
        <w:pStyle w:val="ListParagraph"/>
        <w:rPr>
          <w:rFonts w:ascii="Cambria" w:hAnsi="Cambria" w:cs="Arial"/>
          <w:sz w:val="24"/>
          <w:szCs w:val="24"/>
        </w:rPr>
      </w:pPr>
    </w:p>
    <w:p w:rsidR="007F4358" w:rsidRPr="007F4358" w:rsidRDefault="00327AEC" w:rsidP="007F4358">
      <w:pPr>
        <w:pStyle w:val="ListParagraph"/>
        <w:numPr>
          <w:ilvl w:val="0"/>
          <w:numId w:val="4"/>
        </w:numPr>
        <w:rPr>
          <w:rFonts w:ascii="Cambria" w:hAnsi="Cambria"/>
          <w:sz w:val="24"/>
          <w:szCs w:val="24"/>
        </w:rPr>
      </w:pPr>
      <w:r w:rsidRPr="007F4358">
        <w:rPr>
          <w:rFonts w:ascii="Cambria" w:hAnsi="Cambria" w:cs="Arial"/>
          <w:b/>
          <w:color w:val="746425" w:themeColor="accent1" w:themeShade="80"/>
          <w:sz w:val="24"/>
          <w:szCs w:val="24"/>
        </w:rPr>
        <w:t>ABM Clientes</w:t>
      </w:r>
      <w:r w:rsidR="00433B9D" w:rsidRPr="007F4358">
        <w:rPr>
          <w:rFonts w:ascii="Cambria" w:hAnsi="Cambria" w:cs="Arial"/>
          <w:b/>
          <w:color w:val="746425" w:themeColor="accent1" w:themeShade="80"/>
          <w:sz w:val="24"/>
          <w:szCs w:val="24"/>
        </w:rPr>
        <w:t xml:space="preserve"> y Proveedores</w:t>
      </w:r>
      <w:r w:rsidRPr="007F4358">
        <w:rPr>
          <w:rFonts w:ascii="Cambria" w:hAnsi="Cambria" w:cs="Arial"/>
          <w:b/>
          <w:color w:val="746425" w:themeColor="accent1" w:themeShade="80"/>
          <w:sz w:val="24"/>
          <w:szCs w:val="24"/>
        </w:rPr>
        <w:t>:</w:t>
      </w:r>
      <w:r>
        <w:rPr>
          <w:rFonts w:ascii="Cambria" w:hAnsi="Cambria" w:cs="Arial"/>
          <w:sz w:val="24"/>
          <w:szCs w:val="24"/>
        </w:rPr>
        <w:t xml:space="preserve"> En el alta y la modificación consideramos como </w:t>
      </w:r>
      <w:r w:rsidR="00433B9D">
        <w:rPr>
          <w:rFonts w:ascii="Cambria" w:hAnsi="Cambria" w:cs="Arial"/>
          <w:sz w:val="24"/>
          <w:szCs w:val="24"/>
        </w:rPr>
        <w:t>únicos</w:t>
      </w:r>
      <w:r>
        <w:rPr>
          <w:rFonts w:ascii="Cambria" w:hAnsi="Cambria" w:cs="Arial"/>
          <w:sz w:val="24"/>
          <w:szCs w:val="24"/>
        </w:rPr>
        <w:t xml:space="preserve"> los campos </w:t>
      </w:r>
      <w:proofErr w:type="spellStart"/>
      <w:r>
        <w:rPr>
          <w:rFonts w:ascii="Cambria" w:hAnsi="Cambria" w:cs="Arial"/>
          <w:sz w:val="24"/>
          <w:szCs w:val="24"/>
        </w:rPr>
        <w:t>username</w:t>
      </w:r>
      <w:proofErr w:type="spellEnd"/>
      <w:r>
        <w:rPr>
          <w:rFonts w:ascii="Cambria" w:hAnsi="Cambria" w:cs="Arial"/>
          <w:sz w:val="24"/>
          <w:szCs w:val="24"/>
        </w:rPr>
        <w:t xml:space="preserve">, </w:t>
      </w:r>
      <w:r w:rsidR="00433B9D">
        <w:rPr>
          <w:rFonts w:ascii="Cambria" w:hAnsi="Cambria" w:cs="Arial"/>
          <w:sz w:val="24"/>
          <w:szCs w:val="24"/>
        </w:rPr>
        <w:t xml:space="preserve">DNI, teléfono y mail en el caso de los clientes; en el caso de proveedores nos decidimos por </w:t>
      </w:r>
      <w:proofErr w:type="spellStart"/>
      <w:r w:rsidR="00433B9D">
        <w:rPr>
          <w:rFonts w:ascii="Cambria" w:hAnsi="Cambria" w:cs="Arial"/>
          <w:sz w:val="24"/>
          <w:szCs w:val="24"/>
        </w:rPr>
        <w:t>username</w:t>
      </w:r>
      <w:proofErr w:type="spellEnd"/>
      <w:r w:rsidR="00433B9D">
        <w:rPr>
          <w:rFonts w:ascii="Cambria" w:hAnsi="Cambria" w:cs="Arial"/>
          <w:sz w:val="24"/>
          <w:szCs w:val="24"/>
        </w:rPr>
        <w:t xml:space="preserve">, CUIT, razón social, teléfono y mail. Obligatorios para dar de alta o modificar un registro son todos los campos que se le solicitan en el formulario correspondiente. </w:t>
      </w:r>
      <w:r w:rsidR="007F4358">
        <w:rPr>
          <w:rFonts w:ascii="Cambria" w:hAnsi="Cambria" w:cs="Arial"/>
          <w:sz w:val="24"/>
          <w:szCs w:val="24"/>
        </w:rPr>
        <w:br/>
      </w:r>
      <w:r w:rsidR="00887D54" w:rsidRPr="007F4358">
        <w:rPr>
          <w:rFonts w:ascii="Cambria" w:hAnsi="Cambria" w:cs="Arial"/>
          <w:sz w:val="24"/>
          <w:szCs w:val="24"/>
        </w:rPr>
        <w:t>El administrador general puede inhabilitar o habilitar a un usuario en el formulario de modificación.</w:t>
      </w:r>
      <w:r w:rsidR="007F4358" w:rsidRPr="007F4358">
        <w:rPr>
          <w:rFonts w:ascii="Cambria" w:hAnsi="Cambria" w:cs="Arial"/>
          <w:sz w:val="24"/>
          <w:szCs w:val="24"/>
        </w:rPr>
        <w:t xml:space="preserve"> </w:t>
      </w:r>
      <w:r w:rsidR="007F4358">
        <w:rPr>
          <w:rFonts w:ascii="Cambria" w:hAnsi="Cambria" w:cs="Arial"/>
          <w:sz w:val="24"/>
          <w:szCs w:val="24"/>
        </w:rPr>
        <w:br/>
      </w:r>
      <w:r w:rsidR="00887D54" w:rsidRPr="007F4358">
        <w:rPr>
          <w:rFonts w:ascii="Cambria" w:hAnsi="Cambria" w:cs="Arial"/>
          <w:sz w:val="24"/>
          <w:szCs w:val="24"/>
        </w:rPr>
        <w:t xml:space="preserve">En la modificación de la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xml:space="preserve"> de cualquiera de estos dos roles se lleva a cabo presionando el botón “Cambiar </w:t>
      </w:r>
      <w:proofErr w:type="spellStart"/>
      <w:r w:rsidR="00887D54" w:rsidRPr="007F4358">
        <w:rPr>
          <w:rFonts w:ascii="Cambria" w:hAnsi="Cambria" w:cs="Arial"/>
          <w:sz w:val="24"/>
          <w:szCs w:val="24"/>
        </w:rPr>
        <w:t>password</w:t>
      </w:r>
      <w:proofErr w:type="spellEnd"/>
      <w:r w:rsidR="00887D54" w:rsidRPr="007F4358">
        <w:rPr>
          <w:rFonts w:ascii="Cambria" w:hAnsi="Cambria" w:cs="Arial"/>
          <w:sz w:val="24"/>
          <w:szCs w:val="24"/>
        </w:rPr>
        <w:t>” que abrirá un formulario para poder cambiar este atributo y luego de realizar el cambio o cancelar esa operación vuelve al mismo formulario de Modificación.</w:t>
      </w:r>
      <w:r w:rsidR="007F4358">
        <w:rPr>
          <w:rFonts w:ascii="Cambria" w:hAnsi="Cambria" w:cs="Arial"/>
          <w:sz w:val="24"/>
          <w:szCs w:val="24"/>
        </w:rPr>
        <w:t xml:space="preserve"> </w:t>
      </w:r>
      <w:r w:rsidR="000A050B">
        <w:rPr>
          <w:rFonts w:ascii="Cambria" w:hAnsi="Cambria" w:cs="Arial"/>
          <w:sz w:val="24"/>
          <w:szCs w:val="24"/>
        </w:rPr>
        <w:t xml:space="preserve">Los usuarios que se </w:t>
      </w:r>
      <w:proofErr w:type="spellStart"/>
      <w:r w:rsidR="000A050B">
        <w:rPr>
          <w:rFonts w:ascii="Cambria" w:hAnsi="Cambria" w:cs="Arial"/>
          <w:sz w:val="24"/>
          <w:szCs w:val="24"/>
        </w:rPr>
        <w:t>logu</w:t>
      </w:r>
      <w:bookmarkStart w:id="0" w:name="_GoBack"/>
      <w:bookmarkEnd w:id="0"/>
      <w:r w:rsidR="00887D54" w:rsidRPr="007F4358">
        <w:rPr>
          <w:rFonts w:ascii="Cambria" w:hAnsi="Cambria" w:cs="Arial"/>
          <w:sz w:val="24"/>
          <w:szCs w:val="24"/>
        </w:rPr>
        <w:t>een</w:t>
      </w:r>
      <w:proofErr w:type="spellEnd"/>
      <w:r w:rsidR="00887D54" w:rsidRPr="007F4358">
        <w:rPr>
          <w:rFonts w:ascii="Cambria" w:hAnsi="Cambria" w:cs="Arial"/>
          <w:sz w:val="24"/>
          <w:szCs w:val="24"/>
        </w:rPr>
        <w:t xml:space="preserve"> también podrán cambiarse la contraseña o darse de baja en el formulario </w:t>
      </w:r>
      <w:proofErr w:type="spellStart"/>
      <w:r w:rsidR="00887D54" w:rsidRPr="007F4358">
        <w:rPr>
          <w:rFonts w:ascii="Cambria" w:hAnsi="Cambria" w:cs="Arial"/>
          <w:sz w:val="24"/>
          <w:szCs w:val="24"/>
        </w:rPr>
        <w:t>Main</w:t>
      </w:r>
      <w:proofErr w:type="spellEnd"/>
      <w:r w:rsidR="00887D54" w:rsidRPr="007F4358">
        <w:rPr>
          <w:rFonts w:ascii="Cambria" w:hAnsi="Cambria" w:cs="Arial"/>
          <w:sz w:val="24"/>
          <w:szCs w:val="24"/>
        </w:rPr>
        <w:t>.</w:t>
      </w:r>
      <w:r w:rsidR="007F4358">
        <w:rPr>
          <w:rFonts w:ascii="Cambria" w:hAnsi="Cambria" w:cs="Arial"/>
          <w:sz w:val="24"/>
          <w:szCs w:val="24"/>
        </w:rPr>
        <w:t xml:space="preserve"> </w:t>
      </w:r>
      <w:r w:rsidR="00887D54" w:rsidRPr="007F4358">
        <w:rPr>
          <w:rFonts w:ascii="Cambria" w:hAnsi="Cambria" w:cs="Arial"/>
          <w:sz w:val="24"/>
          <w:szCs w:val="24"/>
        </w:rPr>
        <w:t xml:space="preserve">En el listado de clientes se podrá filtrar la búsqueda según el nombre (texto libre), apellido (texto libre), mail (texto libre) y DNI (texto </w:t>
      </w:r>
      <w:r w:rsidR="00887D54" w:rsidRPr="007F4358">
        <w:rPr>
          <w:rFonts w:ascii="Cambria" w:hAnsi="Cambria" w:cs="Arial"/>
          <w:sz w:val="24"/>
          <w:szCs w:val="24"/>
        </w:rPr>
        <w:lastRenderedPageBreak/>
        <w:t xml:space="preserve">exacto) y en el de proveedores el filtrado es por razón social (texto libre), CUIT (texto exacto) y mail (texto libre). En estos listados se mostrará a todos los usuarios que tengan ese rol estén en el estado en que se encuentren. </w:t>
      </w:r>
      <w:r w:rsidR="007F4358">
        <w:rPr>
          <w:rFonts w:ascii="Cambria" w:hAnsi="Cambria" w:cs="Arial"/>
          <w:sz w:val="24"/>
          <w:szCs w:val="24"/>
        </w:rPr>
        <w:br/>
      </w:r>
      <w:r w:rsidR="00887D54" w:rsidRPr="007F4358">
        <w:rPr>
          <w:rFonts w:ascii="Cambria" w:hAnsi="Cambria" w:cs="Arial"/>
          <w:sz w:val="24"/>
          <w:szCs w:val="24"/>
        </w:rPr>
        <w:t>También agregamos a los datos del usuario dos botones, “Modificar” y “Eliminar”, que por los cuales se pueden realizar las operaciones que dan sus nombres</w:t>
      </w:r>
      <w:r w:rsidR="007F4358" w:rsidRPr="007F4358">
        <w:rPr>
          <w:rFonts w:ascii="Cambria" w:hAnsi="Cambria" w:cs="Arial"/>
          <w:sz w:val="24"/>
          <w:szCs w:val="24"/>
        </w:rPr>
        <w:t xml:space="preserve">. </w:t>
      </w:r>
      <w:r w:rsidR="007F4358">
        <w:rPr>
          <w:rFonts w:ascii="Cambria" w:hAnsi="Cambria" w:cs="Arial"/>
          <w:sz w:val="24"/>
          <w:szCs w:val="24"/>
        </w:rPr>
        <w:br/>
      </w:r>
      <w:r w:rsidR="007F4358" w:rsidRPr="007F4358">
        <w:rPr>
          <w:rFonts w:ascii="Cambria" w:hAnsi="Cambria" w:cs="Arial"/>
          <w:sz w:val="24"/>
          <w:szCs w:val="24"/>
        </w:rPr>
        <w:t>Las zonas de preferencia que pueden elegir los Clientes son las existentes en la migración.</w:t>
      </w:r>
    </w:p>
    <w:p w:rsidR="007F4358" w:rsidRPr="007F4358" w:rsidRDefault="007F4358" w:rsidP="007F4358">
      <w:pPr>
        <w:pStyle w:val="ListParagraph"/>
        <w:numPr>
          <w:ilvl w:val="0"/>
          <w:numId w:val="4"/>
        </w:numPr>
        <w:rPr>
          <w:rFonts w:ascii="Cambria" w:hAnsi="Cambria"/>
          <w:sz w:val="24"/>
          <w:szCs w:val="24"/>
        </w:rPr>
      </w:pPr>
      <w:r w:rsidRPr="00EE76BE">
        <w:rPr>
          <w:rFonts w:ascii="Cambria" w:hAnsi="Cambria"/>
          <w:b/>
          <w:color w:val="746425" w:themeColor="accent1" w:themeShade="80"/>
          <w:sz w:val="24"/>
          <w:szCs w:val="24"/>
        </w:rPr>
        <w:t>ABM Administrador:</w:t>
      </w:r>
      <w:r>
        <w:rPr>
          <w:rFonts w:ascii="Cambria" w:hAnsi="Cambria"/>
          <w:sz w:val="24"/>
          <w:szCs w:val="24"/>
        </w:rPr>
        <w:t xml:space="preserve"> </w:t>
      </w:r>
      <w:r w:rsidR="00EE76BE">
        <w:rPr>
          <w:rFonts w:ascii="Cambria" w:hAnsi="Cambria"/>
          <w:sz w:val="24"/>
          <w:szCs w:val="24"/>
        </w:rPr>
        <w:t>decidimos agregar esta funcionalidad al administrador general para poder habilitar, inhabilitar o eliminar a un administrador.</w:t>
      </w:r>
    </w:p>
    <w:p w:rsidR="003F0A75" w:rsidRPr="003F0A75" w:rsidRDefault="003F0A75" w:rsidP="003F0A75"/>
    <w:sectPr w:rsidR="003F0A75" w:rsidRPr="003F0A75"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3B3" w:rsidRDefault="004073B3" w:rsidP="00470B0A">
      <w:pPr>
        <w:spacing w:after="0" w:line="240" w:lineRule="auto"/>
      </w:pPr>
      <w:r>
        <w:separator/>
      </w:r>
    </w:p>
  </w:endnote>
  <w:endnote w:type="continuationSeparator" w:id="0">
    <w:p w:rsidR="004073B3" w:rsidRDefault="004073B3"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Footer"/>
          <w:jc w:val="right"/>
        </w:pPr>
        <w:r>
          <w:fldChar w:fldCharType="begin"/>
        </w:r>
        <w:r>
          <w:instrText xml:space="preserve"> PAGE   \* MERGEFORMAT </w:instrText>
        </w:r>
        <w:r>
          <w:fldChar w:fldCharType="separate"/>
        </w:r>
        <w:r w:rsidR="000A050B">
          <w:rPr>
            <w:noProof/>
          </w:rPr>
          <w:t>6</w:t>
        </w:r>
        <w:r>
          <w:rPr>
            <w:noProof/>
          </w:rPr>
          <w:fldChar w:fldCharType="end"/>
        </w:r>
      </w:p>
    </w:sdtContent>
  </w:sdt>
  <w:p w:rsidR="006F6EE9" w:rsidRDefault="006F6E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3B3" w:rsidRDefault="004073B3" w:rsidP="00470B0A">
      <w:pPr>
        <w:spacing w:after="0" w:line="240" w:lineRule="auto"/>
      </w:pPr>
      <w:r>
        <w:separator/>
      </w:r>
    </w:p>
  </w:footnote>
  <w:footnote w:type="continuationSeparator" w:id="0">
    <w:p w:rsidR="004073B3" w:rsidRDefault="004073B3"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2005"/>
    <w:rsid w:val="0000042E"/>
    <w:rsid w:val="00015513"/>
    <w:rsid w:val="00021FC1"/>
    <w:rsid w:val="00026E83"/>
    <w:rsid w:val="0004590E"/>
    <w:rsid w:val="00065C8B"/>
    <w:rsid w:val="000A050B"/>
    <w:rsid w:val="000E5942"/>
    <w:rsid w:val="00146BE4"/>
    <w:rsid w:val="0015561A"/>
    <w:rsid w:val="00174BBB"/>
    <w:rsid w:val="00175E58"/>
    <w:rsid w:val="001B36CA"/>
    <w:rsid w:val="001C51D2"/>
    <w:rsid w:val="00254A01"/>
    <w:rsid w:val="00261FED"/>
    <w:rsid w:val="002637F1"/>
    <w:rsid w:val="002B2FC3"/>
    <w:rsid w:val="00327AEC"/>
    <w:rsid w:val="0035500E"/>
    <w:rsid w:val="003877AB"/>
    <w:rsid w:val="003A429D"/>
    <w:rsid w:val="003F0A75"/>
    <w:rsid w:val="004073B3"/>
    <w:rsid w:val="00433B9D"/>
    <w:rsid w:val="00445B48"/>
    <w:rsid w:val="00470B0A"/>
    <w:rsid w:val="00531D2F"/>
    <w:rsid w:val="00540EB1"/>
    <w:rsid w:val="005A698D"/>
    <w:rsid w:val="00614F1D"/>
    <w:rsid w:val="00637CEE"/>
    <w:rsid w:val="006E2591"/>
    <w:rsid w:val="006F6EE9"/>
    <w:rsid w:val="00703A92"/>
    <w:rsid w:val="00705E23"/>
    <w:rsid w:val="00741C03"/>
    <w:rsid w:val="0074534B"/>
    <w:rsid w:val="00767051"/>
    <w:rsid w:val="007C2BFC"/>
    <w:rsid w:val="007F4358"/>
    <w:rsid w:val="008332CC"/>
    <w:rsid w:val="00855BFB"/>
    <w:rsid w:val="00872005"/>
    <w:rsid w:val="00887D54"/>
    <w:rsid w:val="008A2131"/>
    <w:rsid w:val="008A4158"/>
    <w:rsid w:val="008C3086"/>
    <w:rsid w:val="008E64E3"/>
    <w:rsid w:val="00955A7A"/>
    <w:rsid w:val="0097013A"/>
    <w:rsid w:val="0097586A"/>
    <w:rsid w:val="00B0316D"/>
    <w:rsid w:val="00B11B06"/>
    <w:rsid w:val="00B14A6F"/>
    <w:rsid w:val="00B53404"/>
    <w:rsid w:val="00B56C46"/>
    <w:rsid w:val="00B92BC5"/>
    <w:rsid w:val="00BD68C3"/>
    <w:rsid w:val="00BD73F7"/>
    <w:rsid w:val="00BF2C9A"/>
    <w:rsid w:val="00C2085C"/>
    <w:rsid w:val="00C338FA"/>
    <w:rsid w:val="00C81A11"/>
    <w:rsid w:val="00CA3D48"/>
    <w:rsid w:val="00CD0DED"/>
    <w:rsid w:val="00D076BB"/>
    <w:rsid w:val="00DB3E40"/>
    <w:rsid w:val="00E61895"/>
    <w:rsid w:val="00E84E2A"/>
    <w:rsid w:val="00E9567B"/>
    <w:rsid w:val="00ED77D8"/>
    <w:rsid w:val="00EE76BE"/>
    <w:rsid w:val="00F02346"/>
    <w:rsid w:val="00F10558"/>
    <w:rsid w:val="00F761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831C2"/>
    <w:rsid w:val="001A61CA"/>
    <w:rsid w:val="001C5122"/>
    <w:rsid w:val="002A76B7"/>
    <w:rsid w:val="00454D0D"/>
    <w:rsid w:val="005A73D7"/>
    <w:rsid w:val="00696C81"/>
    <w:rsid w:val="00932F83"/>
    <w:rsid w:val="00B14CA2"/>
    <w:rsid w:val="00CA2B58"/>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EE68C-5954-4CC4-A862-A27975BCE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1618</Words>
  <Characters>8904</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10501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Esteban</cp:lastModifiedBy>
  <cp:revision>29</cp:revision>
  <dcterms:created xsi:type="dcterms:W3CDTF">2012-11-24T20:09:00Z</dcterms:created>
  <dcterms:modified xsi:type="dcterms:W3CDTF">2012-11-30T00:16:00Z</dcterms:modified>
</cp:coreProperties>
</file>