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numPr>
          <w:ilvl w:val="0"/>
          <w:numId w:val="6"/>
        </w:numPr>
        <w:spacing w:after="0" w:afterAutospacing="0" w:lineRule="auto"/>
        <w:ind w:left="720" w:hanging="360"/>
        <w:rPr>
          <w:sz w:val="40"/>
          <w:szCs w:val="40"/>
        </w:rPr>
      </w:pPr>
      <w:r w:rsidDel="00000000" w:rsidR="00000000" w:rsidRPr="00000000">
        <w:rPr>
          <w:sz w:val="40"/>
          <w:szCs w:val="40"/>
          <w:rtl w:val="0"/>
        </w:rPr>
        <w:t xml:space="preserve"> Comunicación Científica y Gestión</w:t>
      </w:r>
    </w:p>
    <w:p w:rsidR="00000000" w:rsidDel="00000000" w:rsidP="00000000" w:rsidRDefault="00000000" w:rsidRPr="00000000" w14:paraId="00000002">
      <w:pPr>
        <w:numPr>
          <w:ilvl w:val="0"/>
          <w:numId w:val="5"/>
        </w:numPr>
        <w:spacing w:after="0" w:afterAutospacing="0" w:before="0" w:beforeAutospacing="0" w:lineRule="auto"/>
        <w:ind w:left="720" w:hanging="360"/>
        <w:rPr/>
      </w:pPr>
      <w:r w:rsidDel="00000000" w:rsidR="00000000" w:rsidRPr="00000000">
        <w:rPr>
          <w:rtl w:val="0"/>
        </w:rPr>
        <w:t xml:space="preserve">Producción Académica: Estructuración de </w:t>
      </w:r>
      <w:r w:rsidDel="00000000" w:rsidR="00000000" w:rsidRPr="00000000">
        <w:rPr>
          <w:i w:val="1"/>
          <w:iCs w:val="1"/>
          <w:rtl w:val="0"/>
        </w:rPr>
        <w:t xml:space="preserve">papers</w:t>
      </w:r>
      <w:r w:rsidDel="00000000" w:rsidR="00000000" w:rsidRPr="00000000">
        <w:rPr>
          <w:rtl w:val="0"/>
        </w:rPr>
        <w:t xml:space="preserve"> científicos y diseño de pósteres técnicos.</w:t>
      </w:r>
    </w:p>
    <w:p w:rsidR="00000000" w:rsidDel="00000000" w:rsidP="00000000" w:rsidRDefault="00000000" w:rsidRPr="00000000" w14:paraId="00000003">
      <w:pPr>
        <w:numPr>
          <w:ilvl w:val="0"/>
          <w:numId w:val="5"/>
        </w:numPr>
        <w:spacing w:after="0" w:afterAutospacing="0" w:before="0" w:beforeAutospacing="0" w:lineRule="auto"/>
        <w:ind w:left="720" w:hanging="360"/>
        <w:rPr/>
      </w:pPr>
      <w:r w:rsidDel="00000000" w:rsidR="00000000" w:rsidRPr="00000000">
        <w:rPr>
          <w:rtl w:val="0"/>
        </w:rPr>
        <w:t xml:space="preserve">Comunicación: Técnicas de exposición oral y diseño de presentaciones efectivas para audiencias técnicas.</w:t>
      </w:r>
    </w:p>
    <w:p w:rsidR="00000000" w:rsidDel="00000000" w:rsidP="00000000" w:rsidRDefault="00000000" w:rsidRPr="00000000" w14:paraId="00000004">
      <w:pPr>
        <w:numPr>
          <w:ilvl w:val="0"/>
          <w:numId w:val="5"/>
        </w:numPr>
        <w:spacing w:after="0" w:afterAutospacing="0" w:before="0" w:beforeAutospacing="0" w:lineRule="auto"/>
        <w:ind w:left="720" w:hanging="360"/>
        <w:rPr/>
      </w:pPr>
      <w:r w:rsidDel="00000000" w:rsidR="00000000" w:rsidRPr="00000000">
        <w:rPr>
          <w:rtl w:val="0"/>
        </w:rPr>
        <w:t xml:space="preserve">Control de versiones: Fundamentos de gestión de código y colaboración (Git).</w:t>
        <w:br w:type="textWrapping"/>
      </w:r>
    </w:p>
    <w:p w:rsidR="00000000" w:rsidDel="00000000" w:rsidP="00000000" w:rsidRDefault="00000000" w:rsidRPr="00000000" w14:paraId="00000005">
      <w:pPr>
        <w:keepNext w:val="0"/>
        <w:keepLines w:val="0"/>
        <w:numPr>
          <w:ilvl w:val="0"/>
          <w:numId w:val="6"/>
        </w:numPr>
        <w:spacing w:after="0" w:afterAutospacing="0" w:lineRule="auto"/>
        <w:ind w:left="720" w:hanging="360"/>
        <w:rPr>
          <w:sz w:val="40"/>
          <w:szCs w:val="40"/>
        </w:rPr>
      </w:pPr>
      <w:r w:rsidDel="00000000" w:rsidR="00000000" w:rsidRPr="00000000">
        <w:rPr>
          <w:sz w:val="40"/>
          <w:szCs w:val="40"/>
          <w:rtl w:val="0"/>
        </w:rPr>
        <w:t xml:space="preserve">Fundamentos de Inteligencia Artificial</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Perceptrón Simple: Entendimiento de la unidad básica de procesamiento y funciones de activación.</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Perceptrón Multicapa (MLP): Estructuras de redes neuronales densas para problemas complejos.</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Retropropagación (Backpropagation): Algoritmos de optimización y ajuste de pesos mediante el gradiente.</w:t>
        <w:br w:type="textWrapping"/>
      </w:r>
    </w:p>
    <w:p w:rsidR="00000000" w:rsidDel="00000000" w:rsidP="00000000" w:rsidRDefault="00000000" w:rsidRPr="00000000" w14:paraId="00000009">
      <w:pPr>
        <w:numPr>
          <w:ilvl w:val="0"/>
          <w:numId w:val="6"/>
        </w:numPr>
        <w:spacing w:after="0" w:afterAutospacing="0"/>
        <w:ind w:left="720" w:hanging="360"/>
        <w:rPr>
          <w:sz w:val="40"/>
          <w:szCs w:val="40"/>
        </w:rPr>
      </w:pPr>
      <w:r w:rsidDel="00000000" w:rsidR="00000000" w:rsidRPr="00000000">
        <w:rPr>
          <w:sz w:val="40"/>
          <w:szCs w:val="40"/>
          <w:rtl w:val="0"/>
        </w:rPr>
        <w:t xml:space="preserve">Procesamiento de Lenguaje Natural (NLP)</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Análisis de Sentimiento: Procesamiento de texto para la clasificación de polaridad emocional.</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Modelos de Lenguaje:</w:t>
      </w:r>
    </w:p>
    <w:p w:rsidR="00000000" w:rsidDel="00000000" w:rsidP="00000000" w:rsidRDefault="00000000" w:rsidRPr="00000000" w14:paraId="0000000C">
      <w:pPr>
        <w:numPr>
          <w:ilvl w:val="1"/>
          <w:numId w:val="1"/>
        </w:numPr>
        <w:spacing w:after="0" w:afterAutospacing="0" w:before="0" w:beforeAutospacing="0" w:lineRule="auto"/>
        <w:ind w:left="1440" w:hanging="360"/>
        <w:rPr/>
      </w:pPr>
      <w:r w:rsidDel="00000000" w:rsidR="00000000" w:rsidRPr="00000000">
        <w:rPr>
          <w:rtl w:val="0"/>
        </w:rPr>
        <w:t xml:space="preserve">BERT: Comprensión de contexto bidireccional en textos.</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rtl w:val="0"/>
        </w:rPr>
        <w:t xml:space="preserve">GPT: Introducción a modelos generativos y arquitectura Transformer.</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Búsqueda Semántica y Similitud: Uso de FAISS para la gestión y búsqueda eficiente de vectores en bases de datos a gran escala.</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rPr>
          <w:sz w:val="40"/>
          <w:szCs w:val="40"/>
        </w:rPr>
      </w:pPr>
      <w:r w:rsidDel="00000000" w:rsidR="00000000" w:rsidRPr="00000000">
        <w:rPr>
          <w:sz w:val="40"/>
          <w:szCs w:val="40"/>
          <w:rtl w:val="0"/>
        </w:rPr>
        <w:t xml:space="preserve">Tareas a realizar durante todo el proyecto.</w:t>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Subí las tareas a realizar y algunas historias de usuario.</w:t>
        <w:br w:type="textWrapping"/>
      </w:r>
    </w:p>
    <w:p w:rsidR="00000000" w:rsidDel="00000000" w:rsidP="00000000" w:rsidRDefault="00000000" w:rsidRPr="00000000" w14:paraId="00000011">
      <w:pPr>
        <w:pStyle w:val="Heading2"/>
        <w:numPr>
          <w:ilvl w:val="0"/>
          <w:numId w:val="6"/>
        </w:numPr>
        <w:spacing w:after="0" w:afterAutospacing="0" w:before="0" w:beforeAutospacing="0" w:lineRule="auto"/>
        <w:ind w:left="720" w:hanging="360"/>
        <w:rPr>
          <w:sz w:val="40"/>
          <w:szCs w:val="40"/>
        </w:rPr>
      </w:pPr>
      <w:bookmarkStart w:colFirst="0" w:colLast="0" w:name="_lq3udrj2aqmo" w:id="0"/>
      <w:bookmarkEnd w:id="0"/>
      <w:hyperlink r:id="rId6">
        <w:r w:rsidDel="00000000" w:rsidR="00000000" w:rsidRPr="00000000">
          <w:rPr>
            <w:color w:val="0000ee"/>
            <w:sz w:val="40"/>
            <w:szCs w:val="40"/>
            <w:u w:val="single"/>
            <w:rtl w:val="0"/>
          </w:rPr>
          <w:t xml:space="preserve">Así se programa en 2026: IA, agentes y apps reales</w:t>
        </w:r>
      </w:hyperlink>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Qué es la IA.</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Qué es un LLM: Modelo de lenguaje grande, es un tipo de IA entrenada para poder generar texto.</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Cómo funciona un LLM.</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Cómo se entrena un LLM.</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Cómo sabe programar un LLM.</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Parámetros y cuantización.</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Cómo se predice el siguiente token.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rPr>
          <w:sz w:val="40"/>
          <w:szCs w:val="40"/>
        </w:rPr>
      </w:pPr>
      <w:hyperlink r:id="rId7">
        <w:r w:rsidDel="00000000" w:rsidR="00000000" w:rsidRPr="00000000">
          <w:rPr>
            <w:color w:val="1155cc"/>
            <w:sz w:val="40"/>
            <w:szCs w:val="40"/>
            <w:u w:val="single"/>
            <w:rtl w:val="0"/>
          </w:rPr>
          <w:t xml:space="preserve">MemAlign: Building Better LLM Judges From Human Feedback With Scalable Memory | Databricks Blog</w:t>
        </w:r>
      </w:hyperlink>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Presenta MemAlign, un sistema que alinea criterios de corrección de una IA con el criterio de un experto humano. Lo logra usando un sistema de memoria dual que es mucho más barato y rápido que técnicas tradicionales como Fine-Tuning o la optimización de prompts.</w:t>
      </w:r>
    </w:p>
    <w:p w:rsidR="00000000" w:rsidDel="00000000" w:rsidP="00000000" w:rsidRDefault="00000000" w:rsidRPr="00000000" w14:paraId="0000001C">
      <w:pPr>
        <w:ind w:left="720" w:firstLine="0"/>
        <w:rPr/>
      </w:pPr>
      <w:r w:rsidDel="00000000" w:rsidR="00000000" w:rsidRPr="00000000">
        <w:rPr>
          <w:rtl w:val="0"/>
        </w:rPr>
        <w:t xml:space="preserve">Puede que un profesor considere incorrecta una sentencia SQL, porque aunque funcione, puede ser que le falte algo, como un filtro de seguridad, en cambio, la IA al ser un poco más genérica, puede ser que no se fije en esos detalles y la dé como correcta.</w:t>
      </w:r>
    </w:p>
    <w:p w:rsidR="00000000" w:rsidDel="00000000" w:rsidP="00000000" w:rsidRDefault="00000000" w:rsidRPr="00000000" w14:paraId="0000001D">
      <w:pPr>
        <w:ind w:left="720" w:firstLine="0"/>
        <w:rPr>
          <w:b w:val="1"/>
          <w:bCs w:val="1"/>
        </w:rPr>
      </w:pPr>
      <w:r w:rsidDel="00000000" w:rsidR="00000000" w:rsidRPr="00000000">
        <w:rPr>
          <w:b w:val="1"/>
          <w:bCs w:val="1"/>
          <w:rtl w:val="0"/>
        </w:rPr>
        <w:t xml:space="preserve">MemAlign se divide en dos partes:</w:t>
      </w:r>
    </w:p>
    <w:p w:rsidR="00000000" w:rsidDel="00000000" w:rsidP="00000000" w:rsidRDefault="00000000" w:rsidRPr="00000000" w14:paraId="0000001E">
      <w:pPr>
        <w:ind w:left="720" w:firstLine="0"/>
        <w:rPr/>
      </w:pPr>
      <w:r w:rsidDel="00000000" w:rsidR="00000000" w:rsidRPr="00000000">
        <w:rPr>
          <w:u w:val="single"/>
          <w:rtl w:val="0"/>
        </w:rPr>
        <w:t xml:space="preserve">Memoria semántica:</w:t>
      </w:r>
      <w:r w:rsidDel="00000000" w:rsidR="00000000" w:rsidRPr="00000000">
        <w:rPr>
          <w:rtl w:val="0"/>
        </w:rPr>
        <w:t xml:space="preserve"> Donde se guardan reglas que el profesor enseña. Son guías generales</w:t>
      </w:r>
    </w:p>
    <w:p w:rsidR="00000000" w:rsidDel="00000000" w:rsidP="00000000" w:rsidRDefault="00000000" w:rsidRPr="00000000" w14:paraId="0000001F">
      <w:pPr>
        <w:ind w:left="720" w:firstLine="0"/>
        <w:rPr/>
      </w:pPr>
      <w:r w:rsidDel="00000000" w:rsidR="00000000" w:rsidRPr="00000000">
        <w:rPr>
          <w:u w:val="single"/>
          <w:rtl w:val="0"/>
        </w:rPr>
        <w:t xml:space="preserve">Memoria episódica:</w:t>
      </w:r>
      <w:r w:rsidDel="00000000" w:rsidR="00000000" w:rsidRPr="00000000">
        <w:rPr>
          <w:rtl w:val="0"/>
        </w:rPr>
        <w:t xml:space="preserve"> Se guardan ejemplos concretos donde la IA se equivocó y el profesor la corrigió. Sirve como un historial para que la IA no repita errores en situaciones parecidas.</w:t>
      </w:r>
    </w:p>
    <w:p w:rsidR="00000000" w:rsidDel="00000000" w:rsidP="00000000" w:rsidRDefault="00000000" w:rsidRPr="00000000" w14:paraId="00000020">
      <w:pPr>
        <w:ind w:left="720" w:firstLine="0"/>
        <w:rPr>
          <w:b w:val="1"/>
          <w:bCs w:val="1"/>
        </w:rPr>
      </w:pPr>
      <w:r w:rsidDel="00000000" w:rsidR="00000000" w:rsidRPr="00000000">
        <w:rPr>
          <w:b w:val="1"/>
          <w:bCs w:val="1"/>
          <w:rtl w:val="0"/>
        </w:rPr>
        <w:t xml:space="preserve">Flujo de trabajo:</w:t>
      </w:r>
    </w:p>
    <w:p w:rsidR="00000000" w:rsidDel="00000000" w:rsidP="00000000" w:rsidRDefault="00000000" w:rsidRPr="00000000" w14:paraId="00000021">
      <w:pPr>
        <w:ind w:left="720" w:firstLine="0"/>
        <w:rPr/>
      </w:pPr>
      <w:r w:rsidDel="00000000" w:rsidR="00000000" w:rsidRPr="00000000">
        <w:rPr>
          <w:rtl w:val="0"/>
        </w:rPr>
        <w:t xml:space="preserve">Un experto revisa unos pocos exámenes corregidos por la IA, y le da un feedback en lenguaje natural. MemAlign destila ese comentario y lo guarda en sus memorias; cuando llega un examen nuevo, el sistema busca en su memoria los principios y ejemplos más parecidos al examen actual y se los pasa a la IA como contexto.</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i w:val="1"/>
          <w:iCs w:val="1"/>
        </w:rPr>
      </w:pPr>
      <w:r w:rsidDel="00000000" w:rsidR="00000000" w:rsidRPr="00000000">
        <w:rPr>
          <w:i w:val="1"/>
          <w:iCs w:val="1"/>
          <w:rtl w:val="0"/>
        </w:rPr>
        <w:t xml:space="preserve">Analizar la implementación de un sistema de memoria dual (Semántica y Episódica) basado en el framework MemAlign para reducir costos de procesamiento y mejorar la alineaciones con el criterio del docente</w:t>
      </w:r>
    </w:p>
    <w:p w:rsidR="00000000" w:rsidDel="00000000" w:rsidP="00000000" w:rsidRDefault="00000000" w:rsidRPr="00000000" w14:paraId="00000024">
      <w:pPr>
        <w:ind w:left="720" w:firstLine="0"/>
        <w:rPr>
          <w:i w:val="1"/>
          <w:iCs w:val="1"/>
        </w:rPr>
      </w:pPr>
      <w:r w:rsidDel="00000000" w:rsidR="00000000" w:rsidRPr="00000000">
        <w:rPr>
          <w:rtl w:val="0"/>
        </w:rPr>
      </w:r>
    </w:p>
    <w:p w:rsidR="00000000" w:rsidDel="00000000" w:rsidP="00000000" w:rsidRDefault="00000000" w:rsidRPr="00000000" w14:paraId="00000025">
      <w:pPr>
        <w:numPr>
          <w:ilvl w:val="0"/>
          <w:numId w:val="6"/>
        </w:numPr>
        <w:ind w:left="720" w:hanging="360"/>
        <w:rPr>
          <w:sz w:val="40"/>
          <w:szCs w:val="40"/>
        </w:rPr>
      </w:pPr>
      <w:hyperlink r:id="rId8">
        <w:r w:rsidDel="00000000" w:rsidR="00000000" w:rsidRPr="00000000">
          <w:rPr>
            <w:color w:val="1155cc"/>
            <w:sz w:val="40"/>
            <w:szCs w:val="40"/>
            <w:u w:val="single"/>
            <w:rtl w:val="0"/>
          </w:rPr>
          <w:t xml:space="preserve">Technical workshop: Agent evaluation &amp; decision engines</w:t>
        </w:r>
      </w:hyperlink>
      <w:r w:rsidDel="00000000" w:rsidR="00000000" w:rsidRPr="00000000">
        <w:rPr>
          <w:rtl w:val="0"/>
        </w:rPr>
        <w:br w:type="textWrapping"/>
        <w:br w:type="textWrapping"/>
        <w:t xml:space="preserve">El paper establece que evaluar un agente de IA no es como testear un software común, porque la IA es probabilística (puede dar respuestas distintas ante la misma pregunta) y dependiente de la trayectoria (importa el proceso de razonamiento, no solo el resultado final). Propone un marco de trabajo de tres capas para asegurar que el sistema sea confiable, eficiente y preciso antes de pasar a una fase de producción.</w:t>
        <w:br w:type="textWrapping"/>
        <w:br w:type="textWrapping"/>
        <w:t xml:space="preserve">Técnicas y conceptos para experimentos futuros:</w:t>
        <w:br w:type="textWrapping"/>
        <w:t xml:space="preserve">-CoT: Configurar el sistema para que el modelo genera una cadena de pensamiento paso a paso antes de asignar la nota final</w:t>
        <w:br w:type="textWrapping"/>
        <w:t xml:space="preserve">-Trazado: Capturar la traza completa de la ejecución. Esto incluye la entrada inicial, cada fragmento de apunte que la IA consultó, su razonamiento intermedio y la justificación final</w:t>
        <w:br w:type="textWrapping"/>
        <w:t xml:space="preserve">-Framework de Evaluación de 3 Capas</w:t>
        <w:br w:type="textWrapping"/>
        <w:t xml:space="preserve">-LLM como juez: Usar un modelo más potente para calificar la calidad de la justificación de un modelo más chico. (preguntar si es posible)</w:t>
        <w:br w:type="textWrapping"/>
        <w:t xml:space="preserve">-Escalado por rúbricas: No pedir solo un puntaje, definir rúbricas estructuradas donde cada nivel de nota tenga una descripción clara de qué requisitos debe cumplir el alumno.</w:t>
        <w:br w:type="textWrapp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p>
      <w:pPr>
        <w:pStyle w:val="Heading1"/>
      </w:pPr>
      <w:r>
        <w:t>Análisis de la Arquitectura del Repositorio</w:t>
      </w:r>
    </w:p>
    <w:p>
      <w:r>
        <w:t>El repositorio implementa un sistema distribuido para evaluar la precisión y el rendimiento de diferentes modelos de lenguaje grande (LLMs) en la tarea de corrección automatizada de exámenes, comparando las notas asignadas con la calificación de un docente humano (Ground Truth).</w:t>
      </w:r>
    </w:p>
    <w:p>
      <w:r>
        <w:t>La arquitectura del sistema se compone de los siguientes elementos:</w:t>
        <w:br/>
        <w:t>1. Servidor de Inferencia (Google Colab): Los modelos LLM pesados (como Qwen/Qwen2.5-7B-Instruct o meta-llama/Llama-3.2-11B-Vision-Instruct) se ejecutan en entornos de Colab aprovechando aceleración por GPU. Mediante FastAPI y uvicorn se expone un endpoint '/chat', y con un túnel de pyngrok se genera una URL pública para acceder de forma remota.</w:t>
        <w:br/>
        <w:t>2. Cliente y Lógica Local: En el entorno local se ejecutan los scripts de prueba:</w:t>
        <w:br/>
        <w:t xml:space="preserve">   - cliente_llm.py (ClienteLLM): Gestiona la comunicación HTTP POST enviando las solicitudes de chat al túnel público de ngrok y midiendo la latencia de respuesta.</w:t>
        <w:br/>
        <w:t xml:space="preserve">   - generador_csv.py (generadorCSV): Se encarga de la lectura del dataset (dataset_filtrado.csv o dataset_es.csv) y la persistencia de los resultados y configuraciones en archivos CSV locales.</w:t>
        <w:br/>
        <w:t xml:space="preserve">   - experimento.py (Experimento): Orquesta la ejecución del lote. Construye el prompt con el contexto estático del evaluador, ejemplos de few-shots (o una descripción ideal de respuesta) y la respuesta del estudiante. También guarda los resultados periódicamente en un buffer.</w:t>
        <w:br/>
        <w:t xml:space="preserve">   - main.py: Punto de entrada principal para inicializar el cliente y ejecutar el experimento.</w:t>
        <w:br/>
        <w:t xml:space="preserve">   - servidor_mock.py: Un servidor FastAPI local mockeado que permite verificar la lógica del pipeline local sin incurrir en costos de tokens ni llamadas remotas, devolviendo una nota estática (7.3).</w:t>
      </w:r>
    </w:p>
    <w:p>
      <w:r>
        <w:t>Nota sobre persistencia: En commits anteriores (ej. 7a6317f) la medición se integraba con un servidor SQLite local de MLflow (mlflow.db) para registrar ejecuciones y parámetros. Sin embargo, para mayor flexibilidad y visualización inmediata, se reemplazó la integración de MLflow por la persistencia directa en archivos CSV locales en la carpeta de documentación.</w:t>
      </w:r>
    </w:p>
    <w:p>
      <w:pPr>
        <w:pStyle w:val="Heading1"/>
      </w:pPr>
      <w:r>
        <w:t>Análisis de los Experimentos Individuales</w:t>
      </w:r>
    </w:p>
    <w:p>
      <w:r>
        <w:t>Se recopilaron y compararon resultados experimentales detallados utilizando diferentes modelos, límites de tokens y técnicas de prompting en la pregunta Q434022307 ('Describe cómo se pueden utilizar las aserciones...'):</w:t>
      </w:r>
    </w:p>
    <w:p>
      <w:pPr>
        <w:pStyle w:val="Heading2"/>
      </w:pPr>
      <w:r>
        <w:t>1. Qwen2.5-7B-Instruct (Qwen2 / Qwen3)</w:t>
      </w:r>
    </w:p>
    <w:p>
      <w:r>
        <w:t>Se realizaron 6 corridas de comparación con este modelo (71 respuestas evaluadas en su mayoría):</w:t>
        <w:br/>
        <w:t>• Prompting simple (Sin ejemplos): Logró una diferencia moderada con las notas del profesor, con un Error Absoluto Medio (MAE) de 1.778.</w:t>
        <w:br/>
        <w:t>• Prompting con Respuesta Ideal Estática: Añadir la descripción de la respuesta perfecta ayudó a guiar el criterio, reduciendo el MAE a 1.479.</w:t>
        <w:br/>
        <w:t>• Few-Shot Prompting (3 ejemplos reales con notas 9, 6 y 2): Fue el método más efectivo, logrando el menor MAE del modelo de 1.286 en su primera versión (v0). Las variaciones v1 (MAE: 1.479), v2 (MAE: 1.514) y v3 (MAE: 1.640) confirman la variabilidad estocástica inherente.</w:t>
        <w:br/>
        <w:t>• Límites de Generación (Tokens): La restricción de 150 tokens de salida obtuvo un MAE de 1.463. Ampliar el límite a 2048 tokens incrementó levemente el error a 1.519, ya que el modelo genera justificaciones más extensas que pueden incluir contradicciones menores en el criterio de puntuación.</w:t>
      </w:r>
    </w:p>
    <w:p>
      <w:pPr>
        <w:pStyle w:val="Heading2"/>
      </w:pPr>
      <w:r>
        <w:t>2. Gemma-3-12B</w:t>
      </w:r>
    </w:p>
    <w:p>
      <w:r>
        <w:t>Este modelo demostró un comportamiento muy sensible a los límites de longitud de salida:</w:t>
        <w:br/>
        <w:t>• Problema de truncamiento (40 y 512 tokens - V1): Al configurar límites muy bajos de tokens, el modelo consumió todo el cupo de generación escribiendo la justificación y se detuvo antes de imprimir la nota numérica estructurada ('Nota: X'). Esto impidió que el parser extrajera las calificaciones (0 notas obtenidas).</w:t>
        <w:br/>
        <w:t>• Gemma-3 V2 (512 tokens): Tras ajustar el flujo para garantizar que la nota sea priorizada o adecuadamente generada, se logró recuperar las notas con un MAE de 1.529 (archivo XLSX) / 1.774 (CSV).</w:t>
        <w:br/>
        <w:t>• Gemma-3 (2042 tokens): Al permitir justificaciones largas sin restricciones, el MAE aumentó notablemente hasta 1.939 (XLSX) / 2.571 (CSV), debido a que el exceso de tokens generó divagación y desalineación con el criterio estricto del docente.</w:t>
      </w:r>
    </w:p>
    <w:p>
      <w:pPr>
        <w:pStyle w:val="Heading2"/>
      </w:pPr>
      <w:r>
        <w:t>3. Llama-3.2-11B-Vision-Instruct (Ollama)</w:t>
      </w:r>
    </w:p>
    <w:p>
      <w:r>
        <w:t>Se completó la evaluación del lote completo de 284 filas (4 bloques de 71 ejecuciones del dataset concatenados, con alternancia en las estrategias de prompting):</w:t>
        <w:br/>
        <w:t>• Bloque 1 (Few-Shots, Run 1): Obtuvo el mejor MAE absoluto del proyecto: 1.197.</w:t>
        <w:br/>
        <w:t>• Bloque 2 (Few-Shots, Run 2): Registró un MAE de 1.338.</w:t>
        <w:br/>
        <w:t>• Bloque 3 (Respuesta Ideal, Run 1): Registró un MAE de 1.324.</w:t>
        <w:br/>
        <w:t>• Bloque 4 (Respuesta Ideal, Run 2): Registró un MAE de 1.211.</w:t>
        <w:br/>
        <w:t>• Promedio Global del Experimento: MAE de 1.268 sobre las 284 evaluaciones.</w:t>
        <w:br/>
        <w:t>Llama-3.2-11B demostró ser el modelo con la mejor correlación y el menor error general respecto a las correcciones del docente humano, siendo la técnica de pocos ejemplos (Few-Shots) la más precisa para replicar su criterio.</w:t>
      </w:r>
    </w:p>
    <w:p>
      <w:pPr>
        <w:pStyle w:val="Heading1"/>
      </w:pPr>
      <w:r>
        <w:t>Análisis del Informe de Experimentos (Excel)</w:t>
      </w:r>
    </w:p>
    <w:p>
      <w:r>
        <w:t>El archivo 'Informe experimentos.xlsx' recopila y cruza los errores de predicción de 6 configuraciones experimentales diferentes sobre las 71 respuestas únicas de los estudiantes.</w:t>
        <w:br/>
        <w:t>• En la Hoja 2, se detallan las diferencias individuales (Teacher_grade - LLM_grade) para cada uno de los 71 alumnos.</w:t>
        <w:br/>
        <w:t>• En la Hoja 3, se evalúa la consistencia inter-prompts por alumno mediante la fórmula: =MAX(C3:H3) - MIN(C3:H3). Esta fórmula calcula la diferencia máxima (rango o desacuerdo) entre la calificación más alta y la más baja obtenida por el estudiante en las 6 técnicas probadas.</w:t>
        <w:br/>
        <w:t>• Desacuerdo Promedio: La celda I74 calcula `=AVERAGE(I3:I73)`, arrojando un desacuerdo promedio de 0.97 puntos. Este resultado demuestra que los modelos son sumamente consistentes: la variación máxima en la nota de un alumno, sin importar el prompt o límite de tokens utilizado, es en promedio menor a 1 punto sobre una escala de 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ABNL3igtVo" TargetMode="External"/><Relationship Id="rId7" Type="http://schemas.openxmlformats.org/officeDocument/2006/relationships/hyperlink" Target="https://www.databricks.com/blog/memalign-building-better-llm-judges-human-feedback-scalable-memory" TargetMode="External"/><Relationship Id="rId8" Type="http://schemas.openxmlformats.org/officeDocument/2006/relationships/hyperlink" Target="https://aws.amazon.com/marketplace/build-learn/ai-agent-learning-series/agent-evaluation-and-decision-eng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