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numPr>
          <w:ilvl w:val="0"/>
          <w:numId w:val="6"/>
        </w:numPr>
        <w:spacing w:after="0" w:afterAutospacing="0" w:lineRule="auto"/>
        <w:ind w:left="720" w:hanging="360"/>
        <w:rPr>
          <w:sz w:val="40"/>
          <w:szCs w:val="40"/>
        </w:rPr>
      </w:pPr>
      <w:r w:rsidDel="00000000" w:rsidR="00000000" w:rsidRPr="00000000">
        <w:rPr>
          <w:sz w:val="40"/>
          <w:szCs w:val="40"/>
          <w:rtl w:val="0"/>
        </w:rPr>
        <w:t xml:space="preserve"> Comunicación Científica y Gestión</w:t>
      </w:r>
    </w:p>
    <w:p w:rsidR="00000000" w:rsidDel="00000000" w:rsidP="00000000" w:rsidRDefault="00000000" w:rsidRPr="00000000" w14:paraId="00000002">
      <w:pPr>
        <w:numPr>
          <w:ilvl w:val="0"/>
          <w:numId w:val="5"/>
        </w:numPr>
        <w:spacing w:after="0" w:afterAutospacing="0" w:before="0" w:beforeAutospacing="0" w:lineRule="auto"/>
        <w:ind w:left="720" w:hanging="360"/>
        <w:rPr/>
      </w:pPr>
      <w:r w:rsidDel="00000000" w:rsidR="00000000" w:rsidRPr="00000000">
        <w:rPr>
          <w:rtl w:val="0"/>
        </w:rPr>
        <w:t xml:space="preserve">Producción Académica: Estructuración de </w:t>
      </w:r>
      <w:r w:rsidDel="00000000" w:rsidR="00000000" w:rsidRPr="00000000">
        <w:rPr>
          <w:i w:val="1"/>
          <w:iCs w:val="1"/>
          <w:rtl w:val="0"/>
        </w:rPr>
        <w:t xml:space="preserve">papers</w:t>
      </w:r>
      <w:r w:rsidDel="00000000" w:rsidR="00000000" w:rsidRPr="00000000">
        <w:rPr>
          <w:rtl w:val="0"/>
        </w:rPr>
        <w:t xml:space="preserve"> científicos y diseño de pósteres técnicos.</w:t>
      </w:r>
    </w:p>
    <w:p w:rsidR="00000000" w:rsidDel="00000000" w:rsidP="00000000" w:rsidRDefault="00000000" w:rsidRPr="00000000" w14:paraId="00000003">
      <w:pPr>
        <w:numPr>
          <w:ilvl w:val="0"/>
          <w:numId w:val="5"/>
        </w:numPr>
        <w:spacing w:after="0" w:afterAutospacing="0" w:before="0" w:beforeAutospacing="0" w:lineRule="auto"/>
        <w:ind w:left="720" w:hanging="360"/>
        <w:rPr/>
      </w:pPr>
      <w:r w:rsidDel="00000000" w:rsidR="00000000" w:rsidRPr="00000000">
        <w:rPr>
          <w:rtl w:val="0"/>
        </w:rPr>
        <w:t xml:space="preserve">Comunicación: Técnicas de exposición oral y diseño de presentaciones efectivas para audiencias técnicas.</w:t>
      </w:r>
    </w:p>
    <w:p w:rsidR="00000000" w:rsidDel="00000000" w:rsidP="00000000" w:rsidRDefault="00000000" w:rsidRPr="00000000" w14:paraId="00000004">
      <w:pPr>
        <w:numPr>
          <w:ilvl w:val="0"/>
          <w:numId w:val="5"/>
        </w:numPr>
        <w:spacing w:after="0" w:afterAutospacing="0" w:before="0" w:beforeAutospacing="0" w:lineRule="auto"/>
        <w:ind w:left="720" w:hanging="360"/>
        <w:rPr/>
      </w:pPr>
      <w:r w:rsidDel="00000000" w:rsidR="00000000" w:rsidRPr="00000000">
        <w:rPr>
          <w:rtl w:val="0"/>
        </w:rPr>
        <w:t xml:space="preserve">Control de versiones: Fundamentos de gestión de código y colaboración (Git).</w:t>
        <w:br w:type="textWrapping"/>
      </w:r>
    </w:p>
    <w:p w:rsidR="00000000" w:rsidDel="00000000" w:rsidP="00000000" w:rsidRDefault="00000000" w:rsidRPr="00000000" w14:paraId="00000005">
      <w:pPr>
        <w:keepNext w:val="0"/>
        <w:keepLines w:val="0"/>
        <w:numPr>
          <w:ilvl w:val="0"/>
          <w:numId w:val="6"/>
        </w:numPr>
        <w:spacing w:after="0" w:afterAutospacing="0" w:lineRule="auto"/>
        <w:ind w:left="720" w:hanging="360"/>
        <w:rPr>
          <w:sz w:val="40"/>
          <w:szCs w:val="40"/>
        </w:rPr>
      </w:pPr>
      <w:r w:rsidDel="00000000" w:rsidR="00000000" w:rsidRPr="00000000">
        <w:rPr>
          <w:sz w:val="40"/>
          <w:szCs w:val="40"/>
          <w:rtl w:val="0"/>
        </w:rPr>
        <w:t xml:space="preserve">Fundamentos de Inteligencia Artificial</w:t>
      </w:r>
    </w:p>
    <w:p w:rsidR="00000000" w:rsidDel="00000000" w:rsidP="00000000" w:rsidRDefault="00000000" w:rsidRPr="00000000" w14:paraId="00000006">
      <w:pPr>
        <w:numPr>
          <w:ilvl w:val="0"/>
          <w:numId w:val="3"/>
        </w:numPr>
        <w:spacing w:after="0" w:afterAutospacing="0" w:before="0" w:beforeAutospacing="0" w:lineRule="auto"/>
        <w:ind w:left="720" w:hanging="360"/>
        <w:rPr/>
      </w:pPr>
      <w:r w:rsidDel="00000000" w:rsidR="00000000" w:rsidRPr="00000000">
        <w:rPr>
          <w:rtl w:val="0"/>
        </w:rPr>
        <w:t xml:space="preserve">Perceptrón Simple: Entendimiento de la unidad básica de procesamiento y funciones de activación.</w:t>
      </w:r>
    </w:p>
    <w:p w:rsidR="00000000" w:rsidDel="00000000" w:rsidP="00000000" w:rsidRDefault="00000000" w:rsidRPr="00000000" w14:paraId="00000007">
      <w:pPr>
        <w:numPr>
          <w:ilvl w:val="0"/>
          <w:numId w:val="3"/>
        </w:numPr>
        <w:spacing w:after="0" w:afterAutospacing="0" w:before="0" w:beforeAutospacing="0" w:lineRule="auto"/>
        <w:ind w:left="720" w:hanging="360"/>
        <w:rPr/>
      </w:pPr>
      <w:r w:rsidDel="00000000" w:rsidR="00000000" w:rsidRPr="00000000">
        <w:rPr>
          <w:rtl w:val="0"/>
        </w:rPr>
        <w:t xml:space="preserve">Perceptrón Multicapa (MLP): Estructuras de redes neuronales densas para problemas complejos.</w:t>
      </w:r>
    </w:p>
    <w:p w:rsidR="00000000" w:rsidDel="00000000" w:rsidP="00000000" w:rsidRDefault="00000000" w:rsidRPr="00000000" w14:paraId="00000008">
      <w:pPr>
        <w:numPr>
          <w:ilvl w:val="0"/>
          <w:numId w:val="3"/>
        </w:numPr>
        <w:spacing w:after="0" w:afterAutospacing="0" w:before="0" w:beforeAutospacing="0" w:lineRule="auto"/>
        <w:ind w:left="720" w:hanging="360"/>
        <w:rPr/>
      </w:pPr>
      <w:r w:rsidDel="00000000" w:rsidR="00000000" w:rsidRPr="00000000">
        <w:rPr>
          <w:rtl w:val="0"/>
        </w:rPr>
        <w:t xml:space="preserve">Retropropagación (Backpropagation): Algoritmos de optimización y ajuste de pesos mediante el gradiente.</w:t>
        <w:br w:type="textWrapping"/>
      </w:r>
    </w:p>
    <w:p w:rsidR="00000000" w:rsidDel="00000000" w:rsidP="00000000" w:rsidRDefault="00000000" w:rsidRPr="00000000" w14:paraId="00000009">
      <w:pPr>
        <w:numPr>
          <w:ilvl w:val="0"/>
          <w:numId w:val="6"/>
        </w:numPr>
        <w:spacing w:after="0" w:afterAutospacing="0"/>
        <w:ind w:left="720" w:hanging="360"/>
        <w:rPr>
          <w:sz w:val="40"/>
          <w:szCs w:val="40"/>
        </w:rPr>
      </w:pPr>
      <w:r w:rsidDel="00000000" w:rsidR="00000000" w:rsidRPr="00000000">
        <w:rPr>
          <w:sz w:val="40"/>
          <w:szCs w:val="40"/>
          <w:rtl w:val="0"/>
        </w:rPr>
        <w:t xml:space="preserve">Procesamiento de Lenguaje Natural (NLP)</w:t>
      </w:r>
    </w:p>
    <w:p w:rsidR="00000000" w:rsidDel="00000000" w:rsidP="00000000" w:rsidRDefault="00000000" w:rsidRPr="00000000" w14:paraId="0000000A">
      <w:pPr>
        <w:numPr>
          <w:ilvl w:val="0"/>
          <w:numId w:val="1"/>
        </w:numPr>
        <w:spacing w:after="0" w:afterAutospacing="0" w:before="0" w:beforeAutospacing="0" w:lineRule="auto"/>
        <w:ind w:left="720" w:hanging="360"/>
        <w:rPr/>
      </w:pPr>
      <w:r w:rsidDel="00000000" w:rsidR="00000000" w:rsidRPr="00000000">
        <w:rPr>
          <w:rtl w:val="0"/>
        </w:rPr>
        <w:t xml:space="preserve">Análisis de Sentimiento: Procesamiento de texto para la clasificación de polaridad emocional.</w:t>
      </w:r>
    </w:p>
    <w:p w:rsidR="00000000" w:rsidDel="00000000" w:rsidP="00000000" w:rsidRDefault="00000000" w:rsidRPr="00000000" w14:paraId="0000000B">
      <w:pPr>
        <w:numPr>
          <w:ilvl w:val="0"/>
          <w:numId w:val="1"/>
        </w:numPr>
        <w:spacing w:after="0" w:afterAutospacing="0" w:before="0" w:beforeAutospacing="0" w:lineRule="auto"/>
        <w:ind w:left="720" w:hanging="360"/>
        <w:rPr/>
      </w:pPr>
      <w:r w:rsidDel="00000000" w:rsidR="00000000" w:rsidRPr="00000000">
        <w:rPr>
          <w:rtl w:val="0"/>
        </w:rPr>
        <w:t xml:space="preserve">Modelos de Lenguaje:</w:t>
      </w:r>
    </w:p>
    <w:p w:rsidR="00000000" w:rsidDel="00000000" w:rsidP="00000000" w:rsidRDefault="00000000" w:rsidRPr="00000000" w14:paraId="0000000C">
      <w:pPr>
        <w:numPr>
          <w:ilvl w:val="1"/>
          <w:numId w:val="1"/>
        </w:numPr>
        <w:spacing w:after="0" w:afterAutospacing="0" w:before="0" w:beforeAutospacing="0" w:lineRule="auto"/>
        <w:ind w:left="1440" w:hanging="360"/>
        <w:rPr/>
      </w:pPr>
      <w:r w:rsidDel="00000000" w:rsidR="00000000" w:rsidRPr="00000000">
        <w:rPr>
          <w:rtl w:val="0"/>
        </w:rPr>
        <w:t xml:space="preserve">BERT: Comprensión de contexto bidireccional en textos.</w:t>
      </w:r>
    </w:p>
    <w:p w:rsidR="00000000" w:rsidDel="00000000" w:rsidP="00000000" w:rsidRDefault="00000000" w:rsidRPr="00000000" w14:paraId="0000000D">
      <w:pPr>
        <w:numPr>
          <w:ilvl w:val="1"/>
          <w:numId w:val="1"/>
        </w:numPr>
        <w:spacing w:after="0" w:afterAutospacing="0" w:before="0" w:beforeAutospacing="0" w:lineRule="auto"/>
        <w:ind w:left="1440" w:hanging="360"/>
        <w:rPr/>
      </w:pPr>
      <w:r w:rsidDel="00000000" w:rsidR="00000000" w:rsidRPr="00000000">
        <w:rPr>
          <w:rtl w:val="0"/>
        </w:rPr>
        <w:t xml:space="preserve">GPT: Introducción a modelos generativos y arquitectura Transformer.</w:t>
      </w:r>
    </w:p>
    <w:p w:rsidR="00000000" w:rsidDel="00000000" w:rsidP="00000000" w:rsidRDefault="00000000" w:rsidRPr="00000000" w14:paraId="0000000E">
      <w:pPr>
        <w:numPr>
          <w:ilvl w:val="0"/>
          <w:numId w:val="1"/>
        </w:numPr>
        <w:spacing w:after="0" w:afterAutospacing="0" w:before="0" w:beforeAutospacing="0" w:lineRule="auto"/>
        <w:ind w:left="720" w:hanging="360"/>
        <w:rPr/>
      </w:pPr>
      <w:r w:rsidDel="00000000" w:rsidR="00000000" w:rsidRPr="00000000">
        <w:rPr>
          <w:rtl w:val="0"/>
        </w:rPr>
        <w:t xml:space="preserve">Búsqueda Semántica y Similitud: Uso de FAISS para la gestión y búsqueda eficiente de vectores en bases de datos a gran escala.</w:t>
        <w:br w:type="textWrapping"/>
      </w:r>
    </w:p>
    <w:p w:rsidR="00000000" w:rsidDel="00000000" w:rsidP="00000000" w:rsidRDefault="00000000" w:rsidRPr="00000000" w14:paraId="0000000F">
      <w:pPr>
        <w:numPr>
          <w:ilvl w:val="0"/>
          <w:numId w:val="6"/>
        </w:numPr>
        <w:spacing w:after="0" w:afterAutospacing="0" w:before="0" w:beforeAutospacing="0" w:lineRule="auto"/>
        <w:ind w:left="720" w:hanging="360"/>
        <w:rPr>
          <w:sz w:val="40"/>
          <w:szCs w:val="40"/>
        </w:rPr>
      </w:pPr>
      <w:r w:rsidDel="00000000" w:rsidR="00000000" w:rsidRPr="00000000">
        <w:rPr>
          <w:sz w:val="40"/>
          <w:szCs w:val="40"/>
          <w:rtl w:val="0"/>
        </w:rPr>
        <w:t xml:space="preserve">Tareas a realizar durante todo el proyecto.</w:t>
      </w:r>
    </w:p>
    <w:p w:rsidR="00000000" w:rsidDel="00000000" w:rsidP="00000000" w:rsidRDefault="00000000" w:rsidRPr="00000000" w14:paraId="00000010">
      <w:pPr>
        <w:numPr>
          <w:ilvl w:val="0"/>
          <w:numId w:val="2"/>
        </w:numPr>
        <w:spacing w:after="0" w:afterAutospacing="0" w:before="0" w:beforeAutospacing="0" w:lineRule="auto"/>
        <w:ind w:left="720" w:hanging="360"/>
        <w:rPr>
          <w:u w:val="none"/>
        </w:rPr>
      </w:pPr>
      <w:r w:rsidDel="00000000" w:rsidR="00000000" w:rsidRPr="00000000">
        <w:rPr>
          <w:rtl w:val="0"/>
        </w:rPr>
        <w:t xml:space="preserve">Subí las tareas a realizar y algunas historias de usuario.</w:t>
        <w:br w:type="textWrapping"/>
      </w:r>
    </w:p>
    <w:p w:rsidR="00000000" w:rsidDel="00000000" w:rsidP="00000000" w:rsidRDefault="00000000" w:rsidRPr="00000000" w14:paraId="00000011">
      <w:pPr>
        <w:pStyle w:val="Heading2"/>
        <w:numPr>
          <w:ilvl w:val="0"/>
          <w:numId w:val="6"/>
        </w:numPr>
        <w:spacing w:after="0" w:afterAutospacing="0" w:before="0" w:beforeAutospacing="0" w:lineRule="auto"/>
        <w:ind w:left="720" w:hanging="360"/>
        <w:rPr>
          <w:sz w:val="40"/>
          <w:szCs w:val="40"/>
        </w:rPr>
      </w:pPr>
      <w:bookmarkStart w:colFirst="0" w:colLast="0" w:name="_lq3udrj2aqmo" w:id="0"/>
      <w:bookmarkEnd w:id="0"/>
      <w:hyperlink r:id="rId6">
        <w:r w:rsidDel="00000000" w:rsidR="00000000" w:rsidRPr="00000000">
          <w:rPr>
            <w:color w:val="0000ee"/>
            <w:sz w:val="40"/>
            <w:szCs w:val="40"/>
            <w:u w:val="single"/>
            <w:rtl w:val="0"/>
          </w:rPr>
          <w:t xml:space="preserve">Así se programa en 2026: IA, agentes y apps reales</w:t>
        </w:r>
      </w:hyperlink>
      <w:r w:rsidDel="00000000" w:rsidR="00000000" w:rsidRPr="00000000">
        <w:rPr>
          <w:rtl w:val="0"/>
        </w:rPr>
      </w:r>
    </w:p>
    <w:p w:rsidR="00000000" w:rsidDel="00000000" w:rsidP="00000000" w:rsidRDefault="00000000" w:rsidRPr="00000000" w14:paraId="00000012">
      <w:pPr>
        <w:numPr>
          <w:ilvl w:val="0"/>
          <w:numId w:val="4"/>
        </w:numPr>
        <w:ind w:left="720" w:hanging="360"/>
        <w:rPr>
          <w:u w:val="none"/>
        </w:rPr>
      </w:pPr>
      <w:r w:rsidDel="00000000" w:rsidR="00000000" w:rsidRPr="00000000">
        <w:rPr>
          <w:rtl w:val="0"/>
        </w:rPr>
        <w:t xml:space="preserve">Qué es la IA.</w:t>
      </w:r>
    </w:p>
    <w:p w:rsidR="00000000" w:rsidDel="00000000" w:rsidP="00000000" w:rsidRDefault="00000000" w:rsidRPr="00000000" w14:paraId="00000013">
      <w:pPr>
        <w:numPr>
          <w:ilvl w:val="0"/>
          <w:numId w:val="4"/>
        </w:numPr>
        <w:ind w:left="720" w:hanging="360"/>
        <w:rPr>
          <w:u w:val="none"/>
        </w:rPr>
      </w:pPr>
      <w:r w:rsidDel="00000000" w:rsidR="00000000" w:rsidRPr="00000000">
        <w:rPr>
          <w:rtl w:val="0"/>
        </w:rPr>
        <w:t xml:space="preserve">Qué es un LLM: Modelo de lenguaje grande, es un tipo de IA entrenada para poder generar texto.</w:t>
      </w:r>
    </w:p>
    <w:p w:rsidR="00000000" w:rsidDel="00000000" w:rsidP="00000000" w:rsidRDefault="00000000" w:rsidRPr="00000000" w14:paraId="00000014">
      <w:pPr>
        <w:numPr>
          <w:ilvl w:val="0"/>
          <w:numId w:val="4"/>
        </w:numPr>
        <w:ind w:left="720" w:hanging="360"/>
        <w:rPr>
          <w:u w:val="none"/>
        </w:rPr>
      </w:pPr>
      <w:r w:rsidDel="00000000" w:rsidR="00000000" w:rsidRPr="00000000">
        <w:rPr>
          <w:rtl w:val="0"/>
        </w:rPr>
        <w:t xml:space="preserve">Cómo funciona un LLM.</w:t>
      </w:r>
    </w:p>
    <w:p w:rsidR="00000000" w:rsidDel="00000000" w:rsidP="00000000" w:rsidRDefault="00000000" w:rsidRPr="00000000" w14:paraId="00000015">
      <w:pPr>
        <w:numPr>
          <w:ilvl w:val="0"/>
          <w:numId w:val="4"/>
        </w:numPr>
        <w:ind w:left="720" w:hanging="360"/>
        <w:rPr>
          <w:u w:val="none"/>
        </w:rPr>
      </w:pPr>
      <w:r w:rsidDel="00000000" w:rsidR="00000000" w:rsidRPr="00000000">
        <w:rPr>
          <w:rtl w:val="0"/>
        </w:rPr>
        <w:t xml:space="preserve">Cómo se entrena un LLM.</w:t>
      </w:r>
    </w:p>
    <w:p w:rsidR="00000000" w:rsidDel="00000000" w:rsidP="00000000" w:rsidRDefault="00000000" w:rsidRPr="00000000" w14:paraId="00000016">
      <w:pPr>
        <w:numPr>
          <w:ilvl w:val="0"/>
          <w:numId w:val="4"/>
        </w:numPr>
        <w:ind w:left="720" w:hanging="360"/>
        <w:rPr>
          <w:u w:val="none"/>
        </w:rPr>
      </w:pPr>
      <w:r w:rsidDel="00000000" w:rsidR="00000000" w:rsidRPr="00000000">
        <w:rPr>
          <w:rtl w:val="0"/>
        </w:rPr>
        <w:t xml:space="preserve">Cómo sabe programar un LLM.</w:t>
      </w:r>
    </w:p>
    <w:p w:rsidR="00000000" w:rsidDel="00000000" w:rsidP="00000000" w:rsidRDefault="00000000" w:rsidRPr="00000000" w14:paraId="00000017">
      <w:pPr>
        <w:numPr>
          <w:ilvl w:val="0"/>
          <w:numId w:val="4"/>
        </w:numPr>
        <w:ind w:left="720" w:hanging="360"/>
        <w:rPr>
          <w:u w:val="none"/>
        </w:rPr>
      </w:pPr>
      <w:r w:rsidDel="00000000" w:rsidR="00000000" w:rsidRPr="00000000">
        <w:rPr>
          <w:rtl w:val="0"/>
        </w:rPr>
        <w:t xml:space="preserve">Parámetros y cuantización.</w:t>
      </w:r>
    </w:p>
    <w:p w:rsidR="00000000" w:rsidDel="00000000" w:rsidP="00000000" w:rsidRDefault="00000000" w:rsidRPr="00000000" w14:paraId="00000018">
      <w:pPr>
        <w:numPr>
          <w:ilvl w:val="0"/>
          <w:numId w:val="4"/>
        </w:numPr>
        <w:ind w:left="720" w:hanging="360"/>
        <w:rPr>
          <w:u w:val="none"/>
        </w:rPr>
      </w:pPr>
      <w:r w:rsidDel="00000000" w:rsidR="00000000" w:rsidRPr="00000000">
        <w:rPr>
          <w:rtl w:val="0"/>
        </w:rPr>
        <w:t xml:space="preserve">Cómo se predice el siguiente token.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numPr>
          <w:ilvl w:val="0"/>
          <w:numId w:val="6"/>
        </w:numPr>
        <w:ind w:left="720" w:hanging="360"/>
        <w:rPr>
          <w:sz w:val="40"/>
          <w:szCs w:val="40"/>
        </w:rPr>
      </w:pPr>
      <w:hyperlink r:id="rId7">
        <w:r w:rsidDel="00000000" w:rsidR="00000000" w:rsidRPr="00000000">
          <w:rPr>
            <w:color w:val="1155cc"/>
            <w:sz w:val="40"/>
            <w:szCs w:val="40"/>
            <w:u w:val="single"/>
            <w:rtl w:val="0"/>
          </w:rPr>
          <w:t xml:space="preserve">MemAlign: Building Better LLM Judges From Human Feedback With Scalable Memory | Databricks Blog</w:t>
        </w:r>
      </w:hyperlink>
      <w:r w:rsidDel="00000000" w:rsidR="00000000" w:rsidRPr="00000000">
        <w:rPr>
          <w:rtl w:val="0"/>
        </w:rPr>
      </w:r>
    </w:p>
    <w:p w:rsidR="00000000" w:rsidDel="00000000" w:rsidP="00000000" w:rsidRDefault="00000000" w:rsidRPr="00000000" w14:paraId="0000001B">
      <w:pPr>
        <w:ind w:left="720" w:firstLine="0"/>
        <w:rPr/>
      </w:pPr>
      <w:r w:rsidDel="00000000" w:rsidR="00000000" w:rsidRPr="00000000">
        <w:rPr>
          <w:rtl w:val="0"/>
        </w:rPr>
        <w:t xml:space="preserve">Presenta MemAlign, un sistema que alinea criterios de corrección de una IA con el criterio de un experto humano. Lo logra usando un sistema de memoria dual que es mucho más barato y rápido que técnicas tradicionales como Fine-Tuning o la optimización de prompts.</w:t>
      </w:r>
    </w:p>
    <w:p w:rsidR="00000000" w:rsidDel="00000000" w:rsidP="00000000" w:rsidRDefault="00000000" w:rsidRPr="00000000" w14:paraId="0000001C">
      <w:pPr>
        <w:ind w:left="720" w:firstLine="0"/>
        <w:rPr/>
      </w:pPr>
      <w:r w:rsidDel="00000000" w:rsidR="00000000" w:rsidRPr="00000000">
        <w:rPr>
          <w:rtl w:val="0"/>
        </w:rPr>
        <w:t xml:space="preserve">Puede que un profesor considere incorrecta una sentencia SQL, porque aunque funcione, puede ser que le falte algo, como un filtro de seguridad, en cambio, la IA al ser un poco más genérica, puede ser que no se fije en esos detalles y la dé como correcta.</w:t>
      </w:r>
    </w:p>
    <w:p w:rsidR="00000000" w:rsidDel="00000000" w:rsidP="00000000" w:rsidRDefault="00000000" w:rsidRPr="00000000" w14:paraId="0000001D">
      <w:pPr>
        <w:ind w:left="720" w:firstLine="0"/>
        <w:rPr>
          <w:b w:val="1"/>
          <w:bCs w:val="1"/>
        </w:rPr>
      </w:pPr>
      <w:r w:rsidDel="00000000" w:rsidR="00000000" w:rsidRPr="00000000">
        <w:rPr>
          <w:b w:val="1"/>
          <w:bCs w:val="1"/>
          <w:rtl w:val="0"/>
        </w:rPr>
        <w:t xml:space="preserve">MemAlign se divide en dos partes:</w:t>
      </w:r>
    </w:p>
    <w:p w:rsidR="00000000" w:rsidDel="00000000" w:rsidP="00000000" w:rsidRDefault="00000000" w:rsidRPr="00000000" w14:paraId="0000001E">
      <w:pPr>
        <w:ind w:left="720" w:firstLine="0"/>
        <w:rPr/>
      </w:pPr>
      <w:r w:rsidDel="00000000" w:rsidR="00000000" w:rsidRPr="00000000">
        <w:rPr>
          <w:u w:val="single"/>
          <w:rtl w:val="0"/>
        </w:rPr>
        <w:t xml:space="preserve">Memoria semántica:</w:t>
      </w:r>
      <w:r w:rsidDel="00000000" w:rsidR="00000000" w:rsidRPr="00000000">
        <w:rPr>
          <w:rtl w:val="0"/>
        </w:rPr>
        <w:t xml:space="preserve"> Donde se guardan reglas que el profesor enseña. Son guías generales</w:t>
      </w:r>
    </w:p>
    <w:p w:rsidR="00000000" w:rsidDel="00000000" w:rsidP="00000000" w:rsidRDefault="00000000" w:rsidRPr="00000000" w14:paraId="0000001F">
      <w:pPr>
        <w:ind w:left="720" w:firstLine="0"/>
        <w:rPr/>
      </w:pPr>
      <w:r w:rsidDel="00000000" w:rsidR="00000000" w:rsidRPr="00000000">
        <w:rPr>
          <w:u w:val="single"/>
          <w:rtl w:val="0"/>
        </w:rPr>
        <w:t xml:space="preserve">Memoria episódica:</w:t>
      </w:r>
      <w:r w:rsidDel="00000000" w:rsidR="00000000" w:rsidRPr="00000000">
        <w:rPr>
          <w:rtl w:val="0"/>
        </w:rPr>
        <w:t xml:space="preserve"> Se guardan ejemplos concretos donde la IA se equivocó y el profesor la corrigió. Sirve como un historial para que la IA no repita errores en situaciones parecidas.</w:t>
      </w:r>
    </w:p>
    <w:p w:rsidR="00000000" w:rsidDel="00000000" w:rsidP="00000000" w:rsidRDefault="00000000" w:rsidRPr="00000000" w14:paraId="00000020">
      <w:pPr>
        <w:ind w:left="720" w:firstLine="0"/>
        <w:rPr>
          <w:b w:val="1"/>
          <w:bCs w:val="1"/>
        </w:rPr>
      </w:pPr>
      <w:r w:rsidDel="00000000" w:rsidR="00000000" w:rsidRPr="00000000">
        <w:rPr>
          <w:b w:val="1"/>
          <w:bCs w:val="1"/>
          <w:rtl w:val="0"/>
        </w:rPr>
        <w:t xml:space="preserve">Flujo de trabajo:</w:t>
      </w:r>
    </w:p>
    <w:p w:rsidR="00000000" w:rsidDel="00000000" w:rsidP="00000000" w:rsidRDefault="00000000" w:rsidRPr="00000000" w14:paraId="00000021">
      <w:pPr>
        <w:ind w:left="720" w:firstLine="0"/>
        <w:rPr/>
      </w:pPr>
      <w:r w:rsidDel="00000000" w:rsidR="00000000" w:rsidRPr="00000000">
        <w:rPr>
          <w:rtl w:val="0"/>
        </w:rPr>
        <w:t xml:space="preserve">Un experto revisa unos pocos exámenes corregidos por la IA, y le da un feedback en lenguaje natural. MemAlign destila ese comentario y lo guarda en sus memorias; cuando llega un examen nuevo, el sistema busca en su memoria los principios y ejemplos más parecidos al examen actual y se los pasa a la IA como contexto.</w:t>
      </w:r>
    </w:p>
    <w:p w:rsidR="00000000" w:rsidDel="00000000" w:rsidP="00000000" w:rsidRDefault="00000000" w:rsidRPr="00000000" w14:paraId="00000022">
      <w:pPr>
        <w:ind w:left="720" w:firstLine="0"/>
        <w:rPr/>
      </w:pPr>
      <w:r w:rsidDel="00000000" w:rsidR="00000000" w:rsidRPr="00000000">
        <w:rPr>
          <w:rtl w:val="0"/>
        </w:rPr>
      </w:r>
    </w:p>
    <w:p w:rsidR="00000000" w:rsidDel="00000000" w:rsidP="00000000" w:rsidRDefault="00000000" w:rsidRPr="00000000" w14:paraId="00000023">
      <w:pPr>
        <w:ind w:left="720" w:firstLine="0"/>
        <w:rPr>
          <w:i w:val="1"/>
          <w:iCs w:val="1"/>
        </w:rPr>
      </w:pPr>
      <w:r w:rsidDel="00000000" w:rsidR="00000000" w:rsidRPr="00000000">
        <w:rPr>
          <w:i w:val="1"/>
          <w:iCs w:val="1"/>
          <w:rtl w:val="0"/>
        </w:rPr>
        <w:t xml:space="preserve">Analizar la implementación de un sistema de memoria dual (Semántica y Episódica) basado en el framework MemAlign para reducir costos de procesamiento y mejorar la alineaciones con el criterio del docente</w:t>
      </w:r>
    </w:p>
    <w:p w:rsidR="00000000" w:rsidDel="00000000" w:rsidP="00000000" w:rsidRDefault="00000000" w:rsidRPr="00000000" w14:paraId="00000024">
      <w:pPr>
        <w:ind w:left="720" w:firstLine="0"/>
        <w:rPr>
          <w:i w:val="1"/>
          <w:iCs w:val="1"/>
        </w:rPr>
      </w:pPr>
      <w:r w:rsidDel="00000000" w:rsidR="00000000" w:rsidRPr="00000000">
        <w:rPr>
          <w:rtl w:val="0"/>
        </w:rPr>
      </w:r>
    </w:p>
    <w:p w:rsidR="00000000" w:rsidDel="00000000" w:rsidP="00000000" w:rsidRDefault="00000000" w:rsidRPr="00000000" w14:paraId="00000025">
      <w:pPr>
        <w:numPr>
          <w:ilvl w:val="0"/>
          <w:numId w:val="6"/>
        </w:numPr>
        <w:ind w:left="720" w:hanging="360"/>
        <w:rPr>
          <w:sz w:val="40"/>
          <w:szCs w:val="40"/>
        </w:rPr>
      </w:pPr>
      <w:hyperlink r:id="rId8">
        <w:r w:rsidDel="00000000" w:rsidR="00000000" w:rsidRPr="00000000">
          <w:rPr>
            <w:color w:val="1155cc"/>
            <w:sz w:val="40"/>
            <w:szCs w:val="40"/>
            <w:u w:val="single"/>
            <w:rtl w:val="0"/>
          </w:rPr>
          <w:t xml:space="preserve">Technical workshop: Agent evaluation &amp; decision engines</w:t>
        </w:r>
      </w:hyperlink>
      <w:r w:rsidDel="00000000" w:rsidR="00000000" w:rsidRPr="00000000">
        <w:rPr>
          <w:rtl w:val="0"/>
        </w:rPr>
        <w:br w:type="textWrapping"/>
        <w:br w:type="textWrapping"/>
        <w:t xml:space="preserve">El paper establece que evaluar un agente de IA no es como testear un software común, porque la IA es probabilística (puede dar respuestas distintas ante la misma pregunta) y dependiente de la trayectoria (importa el proceso de razonamiento, no solo el resultado final). Propone un marco de trabajo de tres capas para asegurar que el sistema sea confiable, eficiente y preciso antes de pasar a una fase de producción.</w:t>
        <w:br w:type="textWrapping"/>
        <w:br w:type="textWrapping"/>
        <w:t xml:space="preserve">Técnicas y conceptos para experimentos futuros:</w:t>
        <w:br w:type="textWrapping"/>
        <w:t xml:space="preserve">-CoT: Configurar el sistema para que el modelo genera una cadena de pensamiento paso a paso antes de asignar la nota final</w:t>
        <w:br w:type="textWrapping"/>
        <w:t xml:space="preserve">-Trazado: Capturar la traza completa de la ejecución. Esto incluye la entrada inicial, cada fragmento de apunte que la IA consultó, su razonamiento intermedio y la justificación final</w:t>
        <w:br w:type="textWrapping"/>
        <w:t xml:space="preserve">-Framework de Evaluación de 3 Capas</w:t>
        <w:br w:type="textWrapping"/>
        <w:t xml:space="preserve">-LLM como juez: Usar un modelo más potente para calificar la calidad de la justificación de un modelo más chico. (preguntar si es posible)</w:t>
        <w:br w:type="textWrapping"/>
        <w:t xml:space="preserve">-Escalado por rúbricas: No pedir solo un puntaje, definir rúbricas estructuradas donde cada nivel de nota tenga una descripción clara de qué requisitos debe cumplir el alumno.</w:t>
        <w:br w:type="textWrapping"/>
      </w: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eABNL3igtVo" TargetMode="External"/><Relationship Id="rId7" Type="http://schemas.openxmlformats.org/officeDocument/2006/relationships/hyperlink" Target="https://www.databricks.com/blog/memalign-building-better-llm-judges-human-feedback-scalable-memory" TargetMode="External"/><Relationship Id="rId8" Type="http://schemas.openxmlformats.org/officeDocument/2006/relationships/hyperlink" Target="https://aws.amazon.com/marketplace/build-learn/ai-agent-learning-series/agent-evaluation-and-decision-engin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